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6D6A2E" w:rsidRDefault="006D6A2E" w:rsidP="006D6A2E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6D6A2E">
        <w:rPr>
          <w:b/>
          <w:sz w:val="24"/>
          <w:szCs w:val="24"/>
          <w:u w:val="single"/>
          <w:lang w:val="en-US"/>
        </w:rPr>
        <w:t>ALU 101 Chapter 13</w:t>
      </w:r>
    </w:p>
    <w:p w:rsidR="006D6A2E" w:rsidRDefault="006D6A2E" w:rsidP="006D6A2E">
      <w:pPr>
        <w:jc w:val="center"/>
        <w:rPr>
          <w:b/>
          <w:sz w:val="24"/>
          <w:szCs w:val="24"/>
          <w:lang w:val="en-US"/>
        </w:rPr>
      </w:pPr>
    </w:p>
    <w:p w:rsidR="006D6A2E" w:rsidRPr="00922130" w:rsidRDefault="006D6A2E" w:rsidP="006D6A2E">
      <w:pPr>
        <w:jc w:val="center"/>
        <w:rPr>
          <w:b/>
        </w:rPr>
      </w:pPr>
      <w:r w:rsidRPr="00922130">
        <w:rPr>
          <w:b/>
        </w:rPr>
        <w:t>Endnotes</w:t>
      </w:r>
    </w:p>
    <w:p w:rsidR="006D6A2E" w:rsidRPr="00922130" w:rsidRDefault="006D6A2E" w:rsidP="006D6A2E">
      <w:pPr>
        <w:pStyle w:val="EndnoteText"/>
        <w:tabs>
          <w:tab w:val="left" w:pos="270"/>
        </w:tabs>
        <w:ind w:firstLine="72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6D6A2E" w:rsidRPr="00922130" w:rsidRDefault="006D6A2E" w:rsidP="006D6A2E">
      <w:pPr>
        <w:pStyle w:val="EndnoteText"/>
        <w:tabs>
          <w:tab w:val="left" w:pos="270"/>
        </w:tabs>
        <w:ind w:firstLine="72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  <w:vertAlign w:val="superscript"/>
        </w:rPr>
        <w:tab/>
        <w:t>1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Sophia Banay, “Most Dangerous Destinations,” Forbes Magazine, 22 February 2006. 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22130">
        <w:rPr>
          <w:rStyle w:val="EndnoteReference"/>
          <w:rFonts w:ascii="Arial" w:eastAsiaTheme="majorEastAsia" w:hAnsi="Arial" w:cs="Arial"/>
          <w:color w:val="000000"/>
          <w:sz w:val="22"/>
          <w:szCs w:val="22"/>
        </w:rPr>
        <w:t>2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The World Factbook, “Rank Order – Life Expectancy at Birth”, prepared by the CIA; available from https://www.cia.gov/library/publications/the-world-factbook/rankorder/2102rank.html; Internet; accessed October 2017.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22130">
        <w:rPr>
          <w:rStyle w:val="EndnoteReference"/>
          <w:rFonts w:ascii="Arial" w:eastAsiaTheme="majorEastAsia" w:hAnsi="Arial" w:cs="Arial"/>
          <w:color w:val="000000"/>
          <w:sz w:val="22"/>
          <w:szCs w:val="22"/>
        </w:rPr>
        <w:t>3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Frederic Lapostolle et al., “Severe Pulmonary Embolism Associated with Air Travel,” The New England Journal of Medicine 345, No. 11 (September 2001):  779-783.  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22130">
        <w:rPr>
          <w:rStyle w:val="EndnoteReference"/>
          <w:rFonts w:ascii="Arial" w:eastAsiaTheme="majorEastAsia" w:hAnsi="Arial" w:cs="Arial"/>
          <w:color w:val="000000"/>
          <w:sz w:val="22"/>
          <w:szCs w:val="22"/>
        </w:rPr>
        <w:t>4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Major Episodes of Political Violence 1946 – 2009, Center for Systemic Peace; compiled by Monty G. Marshall; available from http://www.systemicpeace.org/warlist.htm; Internet; accessed February 2014.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r w:rsidRPr="00922130">
        <w:rPr>
          <w:color w:val="000000"/>
        </w:rPr>
        <w:t xml:space="preserve">     </w:t>
      </w:r>
      <w:r w:rsidRPr="00922130">
        <w:rPr>
          <w:color w:val="000000"/>
          <w:vertAlign w:val="superscript"/>
        </w:rPr>
        <w:t>5</w:t>
      </w:r>
      <w:r w:rsidRPr="00922130">
        <w:rPr>
          <w:color w:val="000000"/>
        </w:rPr>
        <w:t xml:space="preserve"> </w:t>
      </w:r>
      <w:r w:rsidRPr="00922130">
        <w:rPr>
          <w:rStyle w:val="Strong"/>
          <w:b w:val="0"/>
          <w:color w:val="111111"/>
          <w:shd w:val="clear" w:color="auto" w:fill="FFFFFF"/>
        </w:rPr>
        <w:t>Elana Beiser, article cited Committee to Protect Journalists (CPJ)</w:t>
      </w:r>
      <w:r w:rsidRPr="00922130">
        <w:rPr>
          <w:color w:val="000000"/>
        </w:rPr>
        <w:t xml:space="preserve"> “</w:t>
      </w:r>
      <w:r w:rsidRPr="00922130">
        <w:rPr>
          <w:bCs/>
          <w:color w:val="111111"/>
        </w:rPr>
        <w:t>Syria, Iraq, Egypt most deadly nations for journalists”,</w:t>
      </w:r>
      <w:r w:rsidRPr="00922130" w:rsidDel="00426E5F">
        <w:rPr>
          <w:color w:val="000000"/>
        </w:rPr>
        <w:t xml:space="preserve"> </w:t>
      </w:r>
      <w:r w:rsidRPr="00922130">
        <w:rPr>
          <w:color w:val="000000"/>
        </w:rPr>
        <w:t>prepared by the CPJ; available from http://www.cpj.org/reports/2013/12/syria-iraq-egypt-most-deadly-nations-for-journalis.php; Internet; accessed February 2014.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9E5064">
      <w:pPr>
        <w:pStyle w:val="Heading1"/>
        <w:numPr>
          <w:ilvl w:val="0"/>
          <w:numId w:val="0"/>
        </w:numPr>
        <w:shd w:val="clear" w:color="auto" w:fill="FFFFFF"/>
        <w:spacing w:line="360" w:lineRule="atLeast"/>
        <w:ind w:right="302"/>
        <w:textAlignment w:val="baseline"/>
        <w:rPr>
          <w:rFonts w:ascii="Arial" w:hAnsi="Arial" w:cs="Arial"/>
          <w:sz w:val="22"/>
        </w:rPr>
      </w:pPr>
      <w:r w:rsidRPr="00922130">
        <w:rPr>
          <w:rFonts w:ascii="Arial" w:hAnsi="Arial" w:cs="Arial"/>
          <w:color w:val="000000"/>
          <w:sz w:val="22"/>
        </w:rPr>
        <w:t xml:space="preserve">     </w:t>
      </w:r>
      <w:r w:rsidRPr="00922130">
        <w:rPr>
          <w:rStyle w:val="EndnoteReference"/>
          <w:rFonts w:ascii="Arial" w:eastAsiaTheme="majorEastAsia" w:hAnsi="Arial" w:cs="Arial"/>
          <w:color w:val="000000"/>
          <w:sz w:val="22"/>
        </w:rPr>
        <w:t>6</w:t>
      </w:r>
      <w:r w:rsidRPr="00922130">
        <w:rPr>
          <w:rFonts w:ascii="Arial" w:hAnsi="Arial" w:cs="Arial"/>
          <w:color w:val="000000"/>
          <w:sz w:val="22"/>
        </w:rPr>
        <w:t xml:space="preserve"> </w:t>
      </w:r>
      <w:r w:rsidRPr="00922130">
        <w:rPr>
          <w:rFonts w:ascii="Arial" w:hAnsi="Arial" w:cs="Arial"/>
          <w:b w:val="0"/>
          <w:color w:val="000000"/>
          <w:sz w:val="22"/>
        </w:rPr>
        <w:t>World Health Organization (WHO) “</w:t>
      </w:r>
      <w:r w:rsidRPr="00922130">
        <w:rPr>
          <w:rFonts w:ascii="Arial" w:hAnsi="Arial" w:cs="Arial"/>
          <w:b w:val="0"/>
          <w:color w:val="333333"/>
          <w:sz w:val="22"/>
        </w:rPr>
        <w:t>Global status report on road safety 2015</w:t>
      </w:r>
      <w:r w:rsidRPr="00922130">
        <w:rPr>
          <w:rFonts w:ascii="Arial" w:hAnsi="Arial" w:cs="Arial"/>
          <w:b w:val="0"/>
          <w:color w:val="000000"/>
          <w:sz w:val="22"/>
        </w:rPr>
        <w:t>”, prepared by the WHO; available from http://www.who.int/violence_injury_prevention/road_safety_status/2013/en/; Internet; accessed October 2017.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22130">
        <w:rPr>
          <w:rFonts w:ascii="Arial" w:hAnsi="Arial" w:cs="Arial"/>
          <w:color w:val="000000"/>
          <w:sz w:val="22"/>
          <w:szCs w:val="22"/>
          <w:vertAlign w:val="superscript"/>
        </w:rPr>
        <w:t>7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U.S. Department of Transportation, Bureau of Transportation Statistics and NHTSA – National Highway Traffic Safety Administration.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22130">
        <w:rPr>
          <w:rStyle w:val="EndnoteReference"/>
          <w:rFonts w:ascii="Arial" w:eastAsiaTheme="majorEastAsia" w:hAnsi="Arial" w:cs="Arial"/>
          <w:color w:val="000000"/>
          <w:sz w:val="22"/>
          <w:szCs w:val="22"/>
        </w:rPr>
        <w:t>8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World Health Organization’s (WHO) ranking of the World’s Health Systems, prepared by the WHO; available from </w:t>
      </w:r>
      <w:hyperlink r:id="rId8" w:history="1">
        <w:r w:rsidRPr="00922130">
          <w:rPr>
            <w:rStyle w:val="Hyperlink"/>
            <w:rFonts w:ascii="Arial" w:eastAsiaTheme="majorEastAsia" w:hAnsi="Arial" w:cs="Arial"/>
            <w:color w:val="000000"/>
            <w:sz w:val="22"/>
            <w:szCs w:val="22"/>
          </w:rPr>
          <w:t>www.photius.com/rankings/healthranks.html</w:t>
        </w:r>
      </w:hyperlink>
      <w:r w:rsidRPr="00922130">
        <w:rPr>
          <w:rFonts w:ascii="Arial" w:hAnsi="Arial" w:cs="Arial"/>
          <w:color w:val="000000"/>
          <w:sz w:val="22"/>
          <w:szCs w:val="22"/>
        </w:rPr>
        <w:t xml:space="preserve">; </w:t>
      </w:r>
      <w:r w:rsidRPr="00922130">
        <w:rPr>
          <w:rFonts w:ascii="Arial" w:eastAsia="Arial Unicode MS" w:hAnsi="Arial" w:cs="Arial"/>
          <w:color w:val="000000"/>
          <w:sz w:val="22"/>
          <w:szCs w:val="22"/>
        </w:rPr>
        <w:t>Internet;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accessed February 2014.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22130">
        <w:rPr>
          <w:rFonts w:ascii="Arial" w:hAnsi="Arial" w:cs="Arial"/>
          <w:color w:val="000000"/>
          <w:sz w:val="22"/>
          <w:szCs w:val="22"/>
          <w:vertAlign w:val="superscript"/>
        </w:rPr>
        <w:t>9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United Nations, “Facts </w:t>
      </w:r>
      <w:r w:rsidR="007E18BD" w:rsidRPr="00922130">
        <w:rPr>
          <w:rFonts w:ascii="Arial" w:hAnsi="Arial" w:cs="Arial"/>
          <w:color w:val="000000"/>
          <w:sz w:val="22"/>
          <w:szCs w:val="22"/>
        </w:rPr>
        <w:t>about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Water,” World Summit on Sustainable Development, Johannesburg Summit – August – September 2002.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22130">
        <w:rPr>
          <w:rFonts w:ascii="Arial" w:hAnsi="Arial" w:cs="Arial"/>
          <w:color w:val="000000"/>
          <w:sz w:val="22"/>
          <w:szCs w:val="22"/>
          <w:vertAlign w:val="superscript"/>
        </w:rPr>
        <w:t>10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SW Hargarten et al., </w:t>
      </w:r>
      <w:r w:rsidR="007E18BD" w:rsidRPr="00922130">
        <w:rPr>
          <w:rFonts w:ascii="Arial" w:hAnsi="Arial" w:cs="Arial"/>
          <w:color w:val="000000"/>
          <w:sz w:val="22"/>
          <w:szCs w:val="22"/>
        </w:rPr>
        <w:t>“Overseas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Fatalities of United States Citizen Travelers: An analysis of deaths related to International Travel,” Annals of Emergency Medicine 20, No. 6 (June 1991): 622-626; available from http://www.ncbi.nlm.nih.gov/pubmed/2039100?dopt=Abstract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r w:rsidRPr="00922130">
        <w:rPr>
          <w:color w:val="000000"/>
        </w:rPr>
        <w:t xml:space="preserve">     </w:t>
      </w:r>
      <w:r w:rsidRPr="00922130">
        <w:rPr>
          <w:color w:val="000000"/>
          <w:vertAlign w:val="superscript"/>
        </w:rPr>
        <w:t>11</w:t>
      </w:r>
      <w:r w:rsidRPr="00922130">
        <w:rPr>
          <w:color w:val="000000"/>
        </w:rPr>
        <w:t xml:space="preserve"> R Bauer, C Kormer, M Sector, “Scope and Pattern of Tourist Injuries in the European Union,” Institute Sicher Leven and Int. J. Inj. Contr. Saf. Promot. 12, No. 1 (March 2005): 57-61.</w:t>
      </w:r>
    </w:p>
    <w:p w:rsidR="006D6A2E" w:rsidRPr="00922130" w:rsidRDefault="006D6A2E" w:rsidP="006D6A2E">
      <w:pPr>
        <w:pStyle w:val="Endnote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2130" w:rsidRDefault="00922130" w:rsidP="006D6A2E">
      <w:pPr>
        <w:pStyle w:val="Endnote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2130" w:rsidRDefault="00922130" w:rsidP="006D6A2E">
      <w:pPr>
        <w:pStyle w:val="Endnote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2213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Selected Bibliography</w:t>
      </w:r>
    </w:p>
    <w:p w:rsidR="006D6A2E" w:rsidRPr="00922130" w:rsidRDefault="006D6A2E" w:rsidP="006D6A2E">
      <w:pPr>
        <w:pStyle w:val="EndnoteText"/>
        <w:rPr>
          <w:rFonts w:ascii="Arial" w:hAnsi="Arial" w:cs="Arial"/>
          <w:b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  <w:lang w:val="fr-FR"/>
        </w:rPr>
        <w:t>Banay, Sophia, “Most Dangerous Destinations 2006.”</w:t>
      </w:r>
      <w:r w:rsidRPr="00922130">
        <w:rPr>
          <w:rFonts w:ascii="Arial" w:hAnsi="Arial" w:cs="Arial"/>
          <w:color w:val="000000"/>
          <w:sz w:val="22"/>
          <w:szCs w:val="22"/>
          <w:u w:val="single"/>
          <w:lang w:val="fr-FR"/>
        </w:rPr>
        <w:t xml:space="preserve">  </w:t>
      </w:r>
      <w:r w:rsidRPr="00922130">
        <w:rPr>
          <w:rFonts w:ascii="Arial" w:hAnsi="Arial" w:cs="Arial"/>
          <w:color w:val="000000"/>
          <w:sz w:val="22"/>
          <w:szCs w:val="22"/>
          <w:lang w:val="fr-FR"/>
        </w:rPr>
        <w:t>Forbes Magazine, February 2006.</w:t>
      </w: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Bauer, R.; Kormer C.; and Sector, M; “Scope and Pattern or Tourist Injuries in the European Union.”  Institute Sicher Leben and Int. J. Inj. Contr. Saf. Promot. 2005 Mar; 12(1): 57-61.  </w:t>
      </w:r>
    </w:p>
    <w:p w:rsidR="006D6A2E" w:rsidRPr="00922130" w:rsidRDefault="006D6A2E" w:rsidP="006D6A2E">
      <w:pPr>
        <w:pStyle w:val="EndnoteText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Hargarten, SW, et al., </w:t>
      </w:r>
      <w:r w:rsidR="007E18BD" w:rsidRPr="00922130">
        <w:rPr>
          <w:rFonts w:ascii="Arial" w:hAnsi="Arial" w:cs="Arial"/>
          <w:color w:val="000000"/>
          <w:sz w:val="22"/>
          <w:szCs w:val="22"/>
        </w:rPr>
        <w:t>“Overseas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Fatalities of United States Citizen Travelers: An Analysis of Deaths Related to International Travel” Annals of Emergency Medicine 20, No. 6 (June 1991):622-626; available from </w:t>
      </w:r>
      <w:hyperlink r:id="rId9" w:history="1">
        <w:r w:rsidRPr="00922130">
          <w:rPr>
            <w:rStyle w:val="Hyperlink"/>
            <w:rFonts w:ascii="Arial" w:eastAsiaTheme="majorEastAsia" w:hAnsi="Arial" w:cs="Arial"/>
            <w:color w:val="000000"/>
            <w:sz w:val="22"/>
            <w:szCs w:val="22"/>
          </w:rPr>
          <w:t>http://www.ncbi.nlm.nih.gov/pubmed/2039100?dopt=Abstract</w:t>
        </w:r>
      </w:hyperlink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Krinik, John, article cited World Health Organization Studies “Road Traffic Accidents” and “Injury: A Leading Cause of the Global Burden of Disease,” (1999), Underwriter e-Alert, Vol. 14, No 2 (July – August 2004).  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>Lapostolle, Frederic et al., “Severe Pulmonary Embolism Associated with Air Travel,” The New England Journal of Medicine 345, No. 11 (September 2001):  779-783.</w:t>
      </w: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>Major Episodes of Political Violence 1946 – 2009, Center for Systemic Peace; compiled by Monty G. Marshall; available from http://www.systemicpeace.org/warlist.htm; Internet; accessed February 2014.</w:t>
      </w:r>
    </w:p>
    <w:p w:rsidR="006D6A2E" w:rsidRPr="00922130" w:rsidRDefault="006D6A2E" w:rsidP="006D6A2E">
      <w:pPr>
        <w:pStyle w:val="EndnoteText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Committee to Protect Journalists.  </w:t>
      </w:r>
      <w:hyperlink r:id="rId10" w:history="1">
        <w:r w:rsidRPr="00922130">
          <w:rPr>
            <w:rStyle w:val="Hyperlink"/>
            <w:rFonts w:ascii="Arial" w:eastAsiaTheme="majorEastAsia" w:hAnsi="Arial" w:cs="Arial"/>
            <w:sz w:val="22"/>
            <w:szCs w:val="22"/>
          </w:rPr>
          <w:t>www.cpj.org</w:t>
        </w:r>
      </w:hyperlink>
      <w:r w:rsidRPr="00922130">
        <w:rPr>
          <w:rFonts w:ascii="Arial" w:hAnsi="Arial" w:cs="Arial"/>
          <w:color w:val="000000"/>
          <w:sz w:val="22"/>
          <w:szCs w:val="22"/>
        </w:rPr>
        <w:t>; Internet accessed February 2014.</w:t>
      </w:r>
    </w:p>
    <w:p w:rsidR="006D6A2E" w:rsidRPr="00922130" w:rsidRDefault="006D6A2E" w:rsidP="006D6A2E">
      <w:pPr>
        <w:pStyle w:val="EndnoteText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World Tourism Organization (UNWTO) </w:t>
      </w:r>
      <w:hyperlink r:id="rId11" w:history="1">
        <w:r w:rsidRPr="00922130">
          <w:rPr>
            <w:rStyle w:val="Hyperlink"/>
            <w:rFonts w:ascii="Arial" w:eastAsiaTheme="majorEastAsia" w:hAnsi="Arial" w:cs="Arial"/>
            <w:sz w:val="22"/>
            <w:szCs w:val="22"/>
          </w:rPr>
          <w:t>www.unwto.org</w:t>
        </w:r>
      </w:hyperlink>
      <w:r w:rsidRPr="00922130">
        <w:rPr>
          <w:rFonts w:ascii="Arial" w:hAnsi="Arial" w:cs="Arial"/>
          <w:color w:val="000000"/>
          <w:sz w:val="22"/>
          <w:szCs w:val="22"/>
        </w:rPr>
        <w:t>; Internet accessed June 2017.</w:t>
      </w: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The World Factbook, “Rank Order – Life Expectancy at Birth”, prepared by the CIA; available from </w:t>
      </w:r>
      <w:hyperlink r:id="rId12" w:history="1">
        <w:r w:rsidRPr="00922130">
          <w:rPr>
            <w:rStyle w:val="Hyperlink"/>
            <w:rFonts w:ascii="Arial" w:eastAsiaTheme="majorEastAsia" w:hAnsi="Arial" w:cs="Arial"/>
            <w:color w:val="000000"/>
            <w:sz w:val="22"/>
            <w:szCs w:val="22"/>
          </w:rPr>
          <w:t>https://www.cia.gov/library/publications/the-world-factbook/rankorder/2102rank.html</w:t>
        </w:r>
      </w:hyperlink>
      <w:r w:rsidRPr="00922130">
        <w:rPr>
          <w:rFonts w:ascii="Arial" w:hAnsi="Arial" w:cs="Arial"/>
          <w:color w:val="000000"/>
          <w:sz w:val="22"/>
          <w:szCs w:val="22"/>
        </w:rPr>
        <w:t>; Internet accessed October 2017.</w:t>
      </w: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>United Nations</w:t>
      </w:r>
      <w:r w:rsidR="007E18BD" w:rsidRPr="00922130">
        <w:rPr>
          <w:rFonts w:ascii="Arial" w:hAnsi="Arial" w:cs="Arial"/>
          <w:color w:val="000000"/>
          <w:sz w:val="22"/>
          <w:szCs w:val="22"/>
        </w:rPr>
        <w:t>, “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Facts </w:t>
      </w:r>
      <w:r w:rsidR="007E18BD" w:rsidRPr="00922130">
        <w:rPr>
          <w:rFonts w:ascii="Arial" w:hAnsi="Arial" w:cs="Arial"/>
          <w:color w:val="000000"/>
          <w:sz w:val="22"/>
          <w:szCs w:val="22"/>
        </w:rPr>
        <w:t>about</w:t>
      </w:r>
      <w:r w:rsidRPr="00922130">
        <w:rPr>
          <w:rFonts w:ascii="Arial" w:hAnsi="Arial" w:cs="Arial"/>
          <w:color w:val="000000"/>
          <w:sz w:val="22"/>
          <w:szCs w:val="22"/>
        </w:rPr>
        <w:t xml:space="preserve"> Water,” World Summit on Sustainable Development, Johannesburg Summit – August – September 2002.</w:t>
      </w: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>U.S. Department of Transportation, Bureau of Transportation Statistics and NHTSA – National Highway Traffic Safety Administration.</w:t>
      </w: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(WHO) World Health Organization’s ranking of the World’s Health Systems, prepared by WHO; available from </w:t>
      </w:r>
      <w:hyperlink r:id="rId13" w:history="1">
        <w:r w:rsidRPr="00922130">
          <w:rPr>
            <w:rStyle w:val="Hyperlink"/>
            <w:rFonts w:ascii="Arial" w:eastAsiaTheme="majorEastAsia" w:hAnsi="Arial" w:cs="Arial"/>
            <w:color w:val="000000"/>
            <w:sz w:val="22"/>
            <w:szCs w:val="22"/>
          </w:rPr>
          <w:t>www.photius.com/</w:t>
        </w:r>
        <w:r w:rsidRPr="00922130">
          <w:rPr>
            <w:rStyle w:val="Hyperlink"/>
            <w:rFonts w:ascii="Arial" w:eastAsiaTheme="majorEastAsia" w:hAnsi="Arial" w:cs="Arial"/>
            <w:bCs/>
            <w:color w:val="000000"/>
            <w:sz w:val="22"/>
            <w:szCs w:val="22"/>
          </w:rPr>
          <w:t>rankings/health</w:t>
        </w:r>
        <w:r w:rsidRPr="00922130">
          <w:rPr>
            <w:rStyle w:val="Hyperlink"/>
            <w:rFonts w:ascii="Arial" w:eastAsiaTheme="majorEastAsia" w:hAnsi="Arial" w:cs="Arial"/>
            <w:color w:val="000000"/>
            <w:sz w:val="22"/>
            <w:szCs w:val="22"/>
          </w:rPr>
          <w:t>ranks.html</w:t>
        </w:r>
      </w:hyperlink>
      <w:r w:rsidRPr="00922130">
        <w:rPr>
          <w:rFonts w:ascii="Arial" w:hAnsi="Arial" w:cs="Arial"/>
          <w:color w:val="000000"/>
          <w:sz w:val="22"/>
          <w:szCs w:val="22"/>
        </w:rPr>
        <w:t>; Internet; accessed February 2014.</w:t>
      </w:r>
    </w:p>
    <w:p w:rsidR="006D6A2E" w:rsidRPr="00922130" w:rsidRDefault="006D6A2E" w:rsidP="006D6A2E">
      <w:pPr>
        <w:pStyle w:val="EndnoteText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 xml:space="preserve">Bangalore S, Messerli FH, “Gun ownership and firearm-related deaths.” The American Journal of Medicine, Volume 126, Issue 10, (October 2013) P. 873-76. </w:t>
      </w: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</w:p>
    <w:p w:rsidR="006D6A2E" w:rsidRPr="00922130" w:rsidRDefault="006D6A2E" w:rsidP="006D6A2E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922130">
        <w:rPr>
          <w:rFonts w:ascii="Arial" w:hAnsi="Arial" w:cs="Arial"/>
          <w:color w:val="000000"/>
          <w:sz w:val="22"/>
          <w:szCs w:val="22"/>
        </w:rPr>
        <w:t>The World Economic Forum, website accessed 2014.</w:t>
      </w:r>
    </w:p>
    <w:p w:rsidR="006D6A2E" w:rsidRPr="00922130" w:rsidRDefault="006D6A2E" w:rsidP="006D6A2E">
      <w:pPr>
        <w:jc w:val="center"/>
        <w:rPr>
          <w:b/>
          <w:lang w:val="en-US"/>
        </w:rPr>
      </w:pPr>
    </w:p>
    <w:sectPr w:rsidR="006D6A2E" w:rsidRPr="00922130" w:rsidSect="00C2505D"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97" w:rsidRDefault="00C35C97" w:rsidP="007C3ACB">
      <w:pPr>
        <w:spacing w:line="240" w:lineRule="auto"/>
      </w:pPr>
      <w:r>
        <w:separator/>
      </w:r>
    </w:p>
  </w:endnote>
  <w:endnote w:type="continuationSeparator" w:id="0">
    <w:p w:rsidR="00C35C97" w:rsidRDefault="00C35C97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97" w:rsidRDefault="00C35C97" w:rsidP="007C3ACB">
      <w:pPr>
        <w:spacing w:line="240" w:lineRule="auto"/>
      </w:pPr>
      <w:r>
        <w:separator/>
      </w:r>
    </w:p>
  </w:footnote>
  <w:footnote w:type="continuationSeparator" w:id="0">
    <w:p w:rsidR="00C35C97" w:rsidRDefault="00C35C97" w:rsidP="007C3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E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D4E5A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D6A2E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E18BD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22130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E5064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35C97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61806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A83E6-59CE-4452-9D03-A435B750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uiPriority w:val="22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EndnoteText">
    <w:name w:val="endnote text"/>
    <w:basedOn w:val="Normal"/>
    <w:link w:val="EndnoteTextChar"/>
    <w:semiHidden/>
    <w:rsid w:val="006D6A2E"/>
    <w:pPr>
      <w:spacing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D6A2E"/>
    <w:rPr>
      <w:rFonts w:ascii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semiHidden/>
    <w:rsid w:val="006D6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ius.com/rankings/healthranks.html" TargetMode="External"/><Relationship Id="rId13" Type="http://schemas.openxmlformats.org/officeDocument/2006/relationships/hyperlink" Target="http://www.photius.com/rankings/healthrank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a.gov/library/publications/the-world-factbook/rankorder/2102ran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wt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j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039100?dopt=Abstra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6699-C9CF-49AA-A0B9-FF5F4DA0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4135</Characters>
  <Application>Microsoft Office Word</Application>
  <DocSecurity>0</DocSecurity>
  <Lines>103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2018-09-06T17:45:00Z</dcterms:created>
  <dcterms:modified xsi:type="dcterms:W3CDTF">2018-09-06T17:45:00Z</dcterms:modified>
</cp:coreProperties>
</file>