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5E" w:rsidRDefault="00FF365E" w:rsidP="00FF365E">
      <w:pPr>
        <w:pStyle w:val="BodyTextIndent"/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Endnotes</w:t>
      </w:r>
    </w:p>
    <w:p w:rsidR="00FF365E" w:rsidRDefault="00FF365E" w:rsidP="00FF365E">
      <w:pPr>
        <w:pStyle w:val="BodyTextIndent"/>
        <w:ind w:firstLine="0"/>
      </w:pPr>
    </w:p>
    <w:p w:rsidR="00FF365E" w:rsidRDefault="00FF365E" w:rsidP="00FF365E">
      <w:pPr>
        <w:rPr>
          <w:sz w:val="24"/>
        </w:rPr>
      </w:pPr>
      <w:r>
        <w:rPr>
          <w:rStyle w:val="EndnoteReference"/>
          <w:rFonts w:eastAsiaTheme="majorEastAsia"/>
          <w:sz w:val="24"/>
        </w:rPr>
        <w:t>1</w:t>
      </w:r>
      <w:r>
        <w:rPr>
          <w:sz w:val="24"/>
        </w:rPr>
        <w:t xml:space="preserve"> http://www.naic.org/consumer_glossary.htm (accessed April 2006).</w:t>
      </w:r>
    </w:p>
    <w:p w:rsidR="00FF365E" w:rsidRDefault="00FF365E" w:rsidP="00FF365E">
      <w:pPr>
        <w:rPr>
          <w:sz w:val="24"/>
        </w:rPr>
      </w:pPr>
    </w:p>
    <w:p w:rsidR="00FF365E" w:rsidRPr="00EB4B8F" w:rsidRDefault="00FF365E" w:rsidP="00FF365E">
      <w:pPr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 Premium Financing, Life Settlements and Insurable Interest Law </w:t>
      </w:r>
      <w:r w:rsidRPr="00EB4B8F">
        <w:rPr>
          <w:rStyle w:val="HTMLCite"/>
          <w:sz w:val="24"/>
          <w:szCs w:val="24"/>
        </w:rPr>
        <w:t>oci.wi.gov/</w:t>
      </w:r>
      <w:proofErr w:type="spellStart"/>
      <w:r w:rsidRPr="00EB4B8F">
        <w:rPr>
          <w:rStyle w:val="HTMLCite"/>
          <w:sz w:val="24"/>
          <w:szCs w:val="24"/>
        </w:rPr>
        <w:t>advcoun</w:t>
      </w:r>
      <w:proofErr w:type="spellEnd"/>
      <w:r w:rsidRPr="00EB4B8F">
        <w:rPr>
          <w:rStyle w:val="HTMLCite"/>
          <w:sz w:val="24"/>
          <w:szCs w:val="24"/>
        </w:rPr>
        <w:t>/lf_min20080205att4.pdf</w:t>
      </w:r>
      <w:r>
        <w:rPr>
          <w:rStyle w:val="HTMLCite"/>
          <w:sz w:val="24"/>
          <w:szCs w:val="24"/>
        </w:rPr>
        <w:t>.</w:t>
      </w:r>
    </w:p>
    <w:p w:rsidR="00FF365E" w:rsidRDefault="00FF365E" w:rsidP="00FF365E">
      <w:pPr>
        <w:rPr>
          <w:sz w:val="24"/>
        </w:rPr>
      </w:pPr>
    </w:p>
    <w:p w:rsidR="00FF365E" w:rsidRDefault="00FF365E" w:rsidP="00FF365E">
      <w:pPr>
        <w:rPr>
          <w:sz w:val="24"/>
        </w:rPr>
      </w:pPr>
      <w:r>
        <w:rPr>
          <w:rStyle w:val="EndnoteReference"/>
          <w:rFonts w:eastAsiaTheme="majorEastAsia"/>
          <w:sz w:val="24"/>
        </w:rPr>
        <w:t>3</w:t>
      </w:r>
      <w:r>
        <w:rPr>
          <w:sz w:val="24"/>
        </w:rPr>
        <w:t xml:space="preserve"> </w:t>
      </w:r>
      <w:r>
        <w:rPr>
          <w:i/>
          <w:sz w:val="24"/>
        </w:rPr>
        <w:t xml:space="preserve">Khalid J. </w:t>
      </w:r>
      <w:proofErr w:type="spellStart"/>
      <w:r>
        <w:rPr>
          <w:i/>
          <w:sz w:val="24"/>
        </w:rPr>
        <w:t>Bajwa</w:t>
      </w:r>
      <w:proofErr w:type="spellEnd"/>
      <w:r>
        <w:rPr>
          <w:i/>
          <w:sz w:val="24"/>
        </w:rPr>
        <w:t xml:space="preserve"> v. Metropolitan Life Insurance Co.</w:t>
      </w:r>
      <w:r>
        <w:rPr>
          <w:sz w:val="24"/>
        </w:rPr>
        <w:t xml:space="preserve">, No. 95051, Ill. Sup.; 2004 Ill. </w:t>
      </w:r>
    </w:p>
    <w:p w:rsidR="00FF365E" w:rsidRDefault="00FF365E" w:rsidP="00FF365E">
      <w:pPr>
        <w:pStyle w:val="EndnoteText"/>
        <w:rPr>
          <w:sz w:val="24"/>
        </w:rPr>
      </w:pPr>
    </w:p>
    <w:p w:rsidR="00FF365E" w:rsidRDefault="00FF365E" w:rsidP="00FF365E">
      <w:pPr>
        <w:rPr>
          <w:sz w:val="24"/>
        </w:rPr>
      </w:pPr>
      <w:r>
        <w:rPr>
          <w:rStyle w:val="EndnoteReference"/>
          <w:rFonts w:eastAsiaTheme="majorEastAsia"/>
          <w:sz w:val="24"/>
        </w:rPr>
        <w:t>4</w:t>
      </w:r>
      <w:r>
        <w:rPr>
          <w:sz w:val="24"/>
        </w:rPr>
        <w:t xml:space="preserve"> “</w:t>
      </w:r>
      <w:proofErr w:type="gramStart"/>
      <w:r>
        <w:rPr>
          <w:sz w:val="24"/>
        </w:rPr>
        <w:t>common</w:t>
      </w:r>
      <w:proofErr w:type="gramEnd"/>
      <w:r>
        <w:rPr>
          <w:sz w:val="24"/>
        </w:rPr>
        <w:t xml:space="preserve"> law”- An unwritten body of law based on general custom and usage which is recognized and enforced by the courts. </w:t>
      </w:r>
    </w:p>
    <w:p w:rsidR="00FF365E" w:rsidRDefault="00FF365E" w:rsidP="00FF365E">
      <w:pPr>
        <w:pStyle w:val="EndnoteText"/>
        <w:rPr>
          <w:sz w:val="24"/>
        </w:rPr>
      </w:pPr>
    </w:p>
    <w:p w:rsidR="00FF365E" w:rsidRDefault="00FF365E" w:rsidP="00FF365E">
      <w:pPr>
        <w:rPr>
          <w:sz w:val="24"/>
        </w:rPr>
      </w:pPr>
      <w:r>
        <w:rPr>
          <w:rStyle w:val="EndnoteReference"/>
          <w:rFonts w:eastAsiaTheme="majorEastAsia"/>
          <w:sz w:val="24"/>
        </w:rPr>
        <w:t>5</w:t>
      </w:r>
      <w:r>
        <w:rPr>
          <w:sz w:val="24"/>
        </w:rPr>
        <w:t xml:space="preserve"> Flood v. Fidelity Guar. Life Ins. Co., 394 So. 2d 1311, 1313 (La. App. 1981). A beneficiary is prohibited from receiving insurance proceeds if he kills the insured with the </w:t>
      </w:r>
      <w:proofErr w:type="spellStart"/>
      <w:r>
        <w:rPr>
          <w:sz w:val="24"/>
        </w:rPr>
        <w:t>mens</w:t>
      </w:r>
      <w:proofErr w:type="spellEnd"/>
      <w:r>
        <w:rPr>
          <w:sz w:val="24"/>
        </w:rPr>
        <w:t xml:space="preserve"> rea of intent of recklessness under circumstances where the risk of death is grave. See Connecticut Gen. Life Ins. Co. v. Cole, 821 F. Supp. 193, 200 (S.D.N.Y. 1993); see also Equitable Life Assurance Soc. v. </w:t>
      </w:r>
      <w:proofErr w:type="spellStart"/>
      <w:r>
        <w:rPr>
          <w:sz w:val="24"/>
        </w:rPr>
        <w:t>Weightman</w:t>
      </w:r>
      <w:proofErr w:type="spellEnd"/>
      <w:r>
        <w:rPr>
          <w:sz w:val="24"/>
        </w:rPr>
        <w:t>, 106 P. 629, 631 (Okla. 1916).</w:t>
      </w:r>
    </w:p>
    <w:p w:rsidR="00FF365E" w:rsidRDefault="00FF365E" w:rsidP="00FF365E">
      <w:pPr>
        <w:pStyle w:val="EndnoteText"/>
        <w:rPr>
          <w:sz w:val="24"/>
        </w:rPr>
      </w:pPr>
    </w:p>
    <w:p w:rsidR="00FF365E" w:rsidRDefault="00FF365E" w:rsidP="00FF365E">
      <w:pPr>
        <w:pStyle w:val="EndnoteText"/>
        <w:rPr>
          <w:sz w:val="24"/>
        </w:rPr>
      </w:pPr>
      <w:r>
        <w:rPr>
          <w:rStyle w:val="EndnoteReference"/>
          <w:rFonts w:eastAsiaTheme="majorEastAsia"/>
          <w:sz w:val="24"/>
        </w:rPr>
        <w:t>6</w:t>
      </w:r>
      <w:r>
        <w:rPr>
          <w:sz w:val="24"/>
        </w:rPr>
        <w:t xml:space="preserve"> Discount rate - A certain interest rate that is used to bring a series of future cash flows to their present value in order to state them in current, or </w:t>
      </w:r>
      <w:proofErr w:type="gramStart"/>
      <w:r>
        <w:rPr>
          <w:sz w:val="24"/>
        </w:rPr>
        <w:t>today's</w:t>
      </w:r>
      <w:proofErr w:type="gramEnd"/>
      <w:r>
        <w:rPr>
          <w:sz w:val="24"/>
        </w:rPr>
        <w:t>, dollars.</w:t>
      </w:r>
    </w:p>
    <w:p w:rsidR="00FF365E" w:rsidRDefault="00FF365E" w:rsidP="00FF365E">
      <w:pPr>
        <w:pStyle w:val="EndnoteText"/>
        <w:rPr>
          <w:sz w:val="24"/>
        </w:rPr>
      </w:pPr>
    </w:p>
    <w:p w:rsidR="00FF365E" w:rsidRDefault="00FF365E" w:rsidP="00FF365E">
      <w:pPr>
        <w:pStyle w:val="EndnoteText"/>
        <w:rPr>
          <w:sz w:val="24"/>
        </w:rPr>
      </w:pPr>
      <w:r>
        <w:rPr>
          <w:rStyle w:val="EndnoteReference"/>
          <w:rFonts w:eastAsiaTheme="majorEastAsia"/>
          <w:sz w:val="24"/>
        </w:rPr>
        <w:t>7</w:t>
      </w:r>
      <w:r>
        <w:rPr>
          <w:sz w:val="24"/>
        </w:rPr>
        <w:t xml:space="preserve"> Internal Revenue Service, Publication 950 “</w:t>
      </w:r>
      <w:r>
        <w:rPr>
          <w:i/>
          <w:sz w:val="24"/>
        </w:rPr>
        <w:t>Unified Credit (Applicable Exclusion Amount)</w:t>
      </w:r>
      <w:r>
        <w:rPr>
          <w:sz w:val="24"/>
        </w:rPr>
        <w:t>” available at http://www.irs.gov/publications/p950/ar02.html#en_US_publink100099451.</w:t>
      </w:r>
    </w:p>
    <w:p w:rsidR="00FF365E" w:rsidRDefault="00FF365E" w:rsidP="00FF365E">
      <w:pPr>
        <w:pStyle w:val="EndnoteText"/>
        <w:rPr>
          <w:sz w:val="24"/>
        </w:rPr>
      </w:pPr>
    </w:p>
    <w:p w:rsidR="00FF365E" w:rsidRPr="00F109D2" w:rsidRDefault="00FF365E" w:rsidP="00FF365E">
      <w:pPr>
        <w:pStyle w:val="BodyTextIndent"/>
        <w:ind w:firstLine="0"/>
        <w:rPr>
          <w:lang w:val="en-US"/>
        </w:rPr>
      </w:pPr>
      <w:r>
        <w:rPr>
          <w:vertAlign w:val="superscript"/>
        </w:rPr>
        <w:t>8</w:t>
      </w:r>
      <w:r>
        <w:t xml:space="preserve"> COLI Best Practices Provisions of the Pension Protection Act of 2006. </w:t>
      </w:r>
      <w:r w:rsidRPr="00EB4B8F">
        <w:rPr>
          <w:rStyle w:val="HTMLCite"/>
        </w:rPr>
        <w:t>www.plannedfinancial.com/eFlash/E-Flash_30_December_</w:t>
      </w:r>
      <w:r w:rsidRPr="008104E6">
        <w:rPr>
          <w:rStyle w:val="HTMLCite"/>
          <w:bCs/>
        </w:rPr>
        <w:t>2006</w:t>
      </w:r>
      <w:r w:rsidRPr="00EB4B8F">
        <w:rPr>
          <w:rStyle w:val="HTMLCite"/>
        </w:rPr>
        <w:t>.pdf</w:t>
      </w:r>
      <w:r>
        <w:rPr>
          <w:rStyle w:val="HTMLCite"/>
          <w:lang w:val="en-US"/>
        </w:rPr>
        <w:t>.</w:t>
      </w:r>
    </w:p>
    <w:p w:rsidR="00FF365E" w:rsidRDefault="00FF365E" w:rsidP="00FF365E">
      <w:pPr>
        <w:pStyle w:val="BodyTextIndent"/>
        <w:ind w:firstLine="0"/>
      </w:pPr>
    </w:p>
    <w:p w:rsidR="00FF365E" w:rsidRDefault="00FF365E" w:rsidP="00FF365E">
      <w:pPr>
        <w:pStyle w:val="BodyTextIndent"/>
        <w:ind w:firstLine="0"/>
      </w:pPr>
    </w:p>
    <w:p w:rsidR="00FF365E" w:rsidRDefault="00FF365E" w:rsidP="00FF365E">
      <w:pPr>
        <w:pStyle w:val="BodyTextIndent"/>
        <w:ind w:firstLine="0"/>
        <w:jc w:val="center"/>
        <w:rPr>
          <w:b/>
          <w:bCs/>
        </w:rPr>
      </w:pPr>
    </w:p>
    <w:p w:rsidR="00FF365E" w:rsidRDefault="00FF365E" w:rsidP="00FF365E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Selected Bibliography</w:t>
      </w:r>
    </w:p>
    <w:p w:rsidR="00FF365E" w:rsidRDefault="00FF365E" w:rsidP="00FF365E">
      <w:pPr>
        <w:pStyle w:val="BodyTextIndent"/>
        <w:ind w:firstLine="0"/>
      </w:pPr>
    </w:p>
    <w:p w:rsidR="00FF365E" w:rsidRPr="00531C15" w:rsidRDefault="00FF365E" w:rsidP="00FF365E">
      <w:pPr>
        <w:pStyle w:val="BodyTextIndent"/>
        <w:ind w:left="360" w:hanging="360"/>
        <w:rPr>
          <w:lang w:val="en-US"/>
        </w:rPr>
      </w:pPr>
      <w:r>
        <w:t xml:space="preserve">Beam, Burton. </w:t>
      </w:r>
      <w:proofErr w:type="spellStart"/>
      <w:r>
        <w:t>Bickelhaupt</w:t>
      </w:r>
      <w:proofErr w:type="spellEnd"/>
      <w:r>
        <w:t xml:space="preserve">, David. Crowe, Robert. 2001. </w:t>
      </w:r>
      <w:r>
        <w:rPr>
          <w:i/>
        </w:rPr>
        <w:t xml:space="preserve">Fundamentals of Insurance for Financial Planning. </w:t>
      </w:r>
      <w:r>
        <w:t xml:space="preserve">Bryn </w:t>
      </w:r>
      <w:proofErr w:type="spellStart"/>
      <w:r>
        <w:t>Mawr</w:t>
      </w:r>
      <w:proofErr w:type="spellEnd"/>
      <w:r>
        <w:t>, The American College</w:t>
      </w:r>
      <w:r>
        <w:rPr>
          <w:lang w:val="en-US"/>
        </w:rPr>
        <w:t>.</w:t>
      </w:r>
    </w:p>
    <w:p w:rsidR="00FF365E" w:rsidRDefault="00FF365E" w:rsidP="00FF365E">
      <w:pPr>
        <w:pStyle w:val="BodyTextIndent"/>
        <w:ind w:left="360" w:hanging="360"/>
      </w:pPr>
    </w:p>
    <w:p w:rsidR="00FF365E" w:rsidRDefault="00FF365E" w:rsidP="00FF365E">
      <w:pPr>
        <w:pStyle w:val="BodyTextIndent"/>
        <w:ind w:left="360" w:hanging="360"/>
      </w:pPr>
      <w:r>
        <w:t xml:space="preserve">Canada Revenue Agency. “ What Are The Income Tax Rate For Canada For 2004?”  </w:t>
      </w:r>
      <w:hyperlink r:id="rId8" w:history="1">
        <w:r>
          <w:rPr>
            <w:rStyle w:val="Hyperlink"/>
            <w:rFonts w:eastAsiaTheme="majorEastAsia"/>
          </w:rPr>
          <w:t>http://www.cra-arc.gc.ca/tax/individuals/faq/2004_rate-e.html</w:t>
        </w:r>
      </w:hyperlink>
    </w:p>
    <w:p w:rsidR="00FF365E" w:rsidRDefault="00FF365E" w:rsidP="00FF365E">
      <w:pPr>
        <w:pStyle w:val="BodyTextIndent"/>
        <w:ind w:left="360" w:hanging="360"/>
      </w:pPr>
    </w:p>
    <w:p w:rsidR="00FF365E" w:rsidRPr="00531C15" w:rsidRDefault="00FF365E" w:rsidP="00FF365E">
      <w:pPr>
        <w:pStyle w:val="BodyTextIndent"/>
        <w:ind w:left="360" w:hanging="360"/>
        <w:rPr>
          <w:lang w:val="en-US"/>
        </w:rPr>
      </w:pPr>
      <w:proofErr w:type="spellStart"/>
      <w:r>
        <w:t>Cuperfain</w:t>
      </w:r>
      <w:proofErr w:type="spellEnd"/>
      <w:r>
        <w:t xml:space="preserve">, Joel. Marino, Florence. 2002. </w:t>
      </w:r>
      <w:r>
        <w:rPr>
          <w:i/>
        </w:rPr>
        <w:t xml:space="preserve">Canadian Taxation of Life Insurance. </w:t>
      </w:r>
      <w:r>
        <w:t>Toronto, Thomson Canada</w:t>
      </w:r>
      <w:r>
        <w:rPr>
          <w:lang w:val="en-US"/>
        </w:rPr>
        <w:t>.</w:t>
      </w:r>
    </w:p>
    <w:p w:rsidR="00FF365E" w:rsidRDefault="00FF365E" w:rsidP="00FF365E">
      <w:pPr>
        <w:pStyle w:val="BodyTextIndent"/>
        <w:ind w:left="360" w:hanging="360"/>
      </w:pPr>
    </w:p>
    <w:p w:rsidR="00FF365E" w:rsidRPr="00531C15" w:rsidRDefault="00FF365E" w:rsidP="00FF365E">
      <w:pPr>
        <w:pStyle w:val="BodyTextIndent"/>
        <w:ind w:left="360" w:hanging="360"/>
        <w:rPr>
          <w:i/>
          <w:lang w:val="en-US"/>
        </w:rPr>
      </w:pPr>
      <w:proofErr w:type="spellStart"/>
      <w:r>
        <w:t>Diefenderfer</w:t>
      </w:r>
      <w:proofErr w:type="spellEnd"/>
      <w:r>
        <w:t xml:space="preserve">, Gregory. </w:t>
      </w:r>
      <w:proofErr w:type="spellStart"/>
      <w:r>
        <w:t>Fiederlein</w:t>
      </w:r>
      <w:proofErr w:type="spellEnd"/>
      <w:r>
        <w:t xml:space="preserve">, W. Taylor, Perkins, Daniel.1997. “The Path to Excellence- A Financial Underwriting Seminar” </w:t>
      </w:r>
      <w:r>
        <w:rPr>
          <w:i/>
        </w:rPr>
        <w:t>Academy of Life Underwriting, Seminar Series</w:t>
      </w:r>
    </w:p>
    <w:p w:rsidR="00FF365E" w:rsidRDefault="00FF365E" w:rsidP="00FF365E">
      <w:pPr>
        <w:pStyle w:val="BodyTextIndent"/>
        <w:ind w:left="360" w:hanging="360"/>
        <w:rPr>
          <w:i/>
        </w:rPr>
      </w:pPr>
    </w:p>
    <w:p w:rsidR="00FF365E" w:rsidRDefault="00FF365E" w:rsidP="00FF365E">
      <w:pPr>
        <w:pStyle w:val="BodyTextIndent"/>
        <w:ind w:left="360" w:hanging="360"/>
      </w:pPr>
      <w:r>
        <w:t xml:space="preserve">Insurance Canada.ca. “Should You Insure Your Children?” </w:t>
      </w:r>
      <w:hyperlink r:id="rId9" w:history="1">
        <w:r>
          <w:rPr>
            <w:rStyle w:val="Hyperlink"/>
            <w:rFonts w:eastAsiaTheme="majorEastAsia"/>
          </w:rPr>
          <w:t>http://www.insurance-canada.ca/consinfolife/l24.php</w:t>
        </w:r>
      </w:hyperlink>
    </w:p>
    <w:p w:rsidR="00FF365E" w:rsidRDefault="00FF365E" w:rsidP="00FF365E">
      <w:pPr>
        <w:pStyle w:val="BodyTextIndent"/>
        <w:ind w:left="360" w:hanging="360"/>
      </w:pPr>
    </w:p>
    <w:p w:rsidR="00FF365E" w:rsidRDefault="00FF365E" w:rsidP="00FF365E">
      <w:pPr>
        <w:pStyle w:val="BodyTextIndent"/>
        <w:ind w:left="360" w:hanging="360"/>
        <w:rPr>
          <w:i/>
        </w:rPr>
      </w:pPr>
      <w:r>
        <w:t xml:space="preserve">Insurance.com. “Life Insurance For Children” </w:t>
      </w:r>
      <w:hyperlink r:id="rId10" w:history="1">
        <w:r>
          <w:rPr>
            <w:rStyle w:val="Hyperlink"/>
            <w:rFonts w:eastAsiaTheme="majorEastAsia"/>
          </w:rPr>
          <w:t>http://www.insurance.com/Article.aspx/artid/234</w:t>
        </w:r>
      </w:hyperlink>
    </w:p>
    <w:p w:rsidR="00FF365E" w:rsidRDefault="00FF365E" w:rsidP="00FF365E">
      <w:pPr>
        <w:pStyle w:val="BodyTextIndent"/>
        <w:ind w:left="360" w:hanging="360"/>
      </w:pPr>
    </w:p>
    <w:p w:rsidR="00FF365E" w:rsidRPr="00531C15" w:rsidRDefault="00FF365E" w:rsidP="00FF365E">
      <w:pPr>
        <w:pStyle w:val="BodyTextIndent"/>
        <w:ind w:left="360" w:hanging="360"/>
        <w:rPr>
          <w:i/>
          <w:lang w:val="en-US"/>
        </w:rPr>
      </w:pPr>
      <w:r>
        <w:t xml:space="preserve">Krinik, John. Taylor, Wally. </w:t>
      </w:r>
      <w:proofErr w:type="spellStart"/>
      <w:r>
        <w:t>Westfahl</w:t>
      </w:r>
      <w:proofErr w:type="spellEnd"/>
      <w:r>
        <w:t xml:space="preserve">, Leah. 1999. “The Path to Excellence- A Financial Underwriting Seminar” </w:t>
      </w:r>
      <w:r>
        <w:rPr>
          <w:i/>
        </w:rPr>
        <w:t>Academy of Life Underwriting, Seminar Series</w:t>
      </w:r>
      <w:r>
        <w:rPr>
          <w:i/>
          <w:lang w:val="en-US"/>
        </w:rPr>
        <w:t>.</w:t>
      </w:r>
    </w:p>
    <w:p w:rsidR="00FF365E" w:rsidRDefault="00FF365E" w:rsidP="00FF365E">
      <w:pPr>
        <w:pStyle w:val="BodyTextIndent"/>
        <w:ind w:left="360" w:hanging="360"/>
        <w:rPr>
          <w:i/>
        </w:rPr>
      </w:pPr>
    </w:p>
    <w:p w:rsidR="00FF365E" w:rsidRDefault="00FF365E" w:rsidP="00FF365E">
      <w:pPr>
        <w:pStyle w:val="BodyTextIndent"/>
        <w:ind w:left="360" w:hanging="360"/>
      </w:pPr>
      <w:proofErr w:type="spellStart"/>
      <w:r>
        <w:t>Lobb</w:t>
      </w:r>
      <w:proofErr w:type="spellEnd"/>
      <w:r>
        <w:t xml:space="preserve">, </w:t>
      </w:r>
      <w:proofErr w:type="spellStart"/>
      <w:r>
        <w:t>Annelena</w:t>
      </w:r>
      <w:proofErr w:type="spellEnd"/>
      <w:r>
        <w:t xml:space="preserve">. 2002. “Insuring a Stay-At-Home Spouse” CNN Money. </w:t>
      </w:r>
      <w:hyperlink r:id="rId11" w:history="1">
        <w:r>
          <w:rPr>
            <w:rStyle w:val="Hyperlink"/>
            <w:rFonts w:eastAsiaTheme="majorEastAsia"/>
          </w:rPr>
          <w:t>http://money.cnn.com/2002/04/30/pf/insurance/q_stayathome/</w:t>
        </w:r>
      </w:hyperlink>
    </w:p>
    <w:p w:rsidR="00FF365E" w:rsidRDefault="00FF365E" w:rsidP="00FF365E">
      <w:pPr>
        <w:pStyle w:val="BodyTextIndent"/>
        <w:ind w:left="360" w:hanging="360"/>
      </w:pPr>
    </w:p>
    <w:p w:rsidR="00FF365E" w:rsidRPr="00531C15" w:rsidRDefault="00FF365E" w:rsidP="00FF365E">
      <w:pPr>
        <w:pStyle w:val="BodyTextIndent"/>
        <w:ind w:left="360" w:hanging="360"/>
        <w:rPr>
          <w:lang w:val="en-US"/>
        </w:rPr>
      </w:pPr>
      <w:r>
        <w:t xml:space="preserve">Nelson, Mike. 2004. “Insurable Interest Under </w:t>
      </w:r>
      <w:proofErr w:type="spellStart"/>
      <w:r>
        <w:t>Seige</w:t>
      </w:r>
      <w:proofErr w:type="spellEnd"/>
      <w:r>
        <w:t xml:space="preserve">” Planning Design Center </w:t>
      </w:r>
      <w:hyperlink r:id="rId12" w:history="1">
        <w:r>
          <w:rPr>
            <w:rStyle w:val="Hyperlink"/>
            <w:rFonts w:eastAsiaTheme="majorEastAsia"/>
          </w:rPr>
          <w:t>http://www.pgdc.com/usa/item/?itemID=210269</w:t>
        </w:r>
      </w:hyperlink>
    </w:p>
    <w:p w:rsidR="00FF365E" w:rsidRDefault="00FF365E" w:rsidP="00FF365E">
      <w:pPr>
        <w:pStyle w:val="BodyTextIndent"/>
        <w:ind w:left="360" w:hanging="360"/>
      </w:pPr>
    </w:p>
    <w:p w:rsidR="00FF365E" w:rsidRDefault="00FF365E" w:rsidP="00FF365E">
      <w:pPr>
        <w:pStyle w:val="BodyTextIndent"/>
        <w:ind w:left="360" w:hanging="360"/>
      </w:pPr>
      <w:r>
        <w:t xml:space="preserve">The Internal Revenue Service. “Publication 950- Main Contents” </w:t>
      </w:r>
      <w:hyperlink r:id="rId13" w:history="1">
        <w:r>
          <w:rPr>
            <w:rStyle w:val="Hyperlink"/>
            <w:rFonts w:eastAsiaTheme="majorEastAsia"/>
          </w:rPr>
          <w:t>http://www.irs.gov/publications/p950/ar02.html</w:t>
        </w:r>
      </w:hyperlink>
    </w:p>
    <w:p w:rsidR="00FF365E" w:rsidRDefault="00FF365E" w:rsidP="00FF365E">
      <w:pPr>
        <w:pStyle w:val="BodyTextIndent"/>
        <w:ind w:left="360" w:hanging="360"/>
      </w:pPr>
    </w:p>
    <w:p w:rsidR="00FF365E" w:rsidRDefault="00FF365E" w:rsidP="00FF365E">
      <w:pPr>
        <w:pStyle w:val="BodyTextIndent"/>
        <w:ind w:left="360" w:hanging="360"/>
      </w:pPr>
      <w:r>
        <w:t xml:space="preserve">The Internal Revenue Service. “Estate and Gift Taxes” </w:t>
      </w:r>
      <w:hyperlink r:id="rId14" w:history="1">
        <w:r>
          <w:rPr>
            <w:rStyle w:val="Hyperlink"/>
            <w:rFonts w:eastAsiaTheme="majorEastAsia"/>
          </w:rPr>
          <w:t>http://www.irs.gov/businesses/small/article/0,,id=98968,00.html</w:t>
        </w:r>
      </w:hyperlink>
    </w:p>
    <w:p w:rsidR="00FF365E" w:rsidRDefault="00FF365E" w:rsidP="00FF365E">
      <w:pPr>
        <w:pStyle w:val="BodyTextIndent"/>
        <w:ind w:left="360" w:hanging="360"/>
      </w:pPr>
    </w:p>
    <w:p w:rsidR="00FF365E" w:rsidRDefault="00FF365E" w:rsidP="00FF365E">
      <w:pPr>
        <w:pStyle w:val="BodyTextIndent"/>
        <w:ind w:left="360" w:hanging="360"/>
      </w:pPr>
      <w:r>
        <w:t xml:space="preserve">Tolle, Norman. 2002. “Life Insurance Policies as an Incentive to Murder- and the Duty of Reasonable Care” </w:t>
      </w:r>
      <w:proofErr w:type="spellStart"/>
      <w:r>
        <w:t>Rivkin</w:t>
      </w:r>
      <w:proofErr w:type="spellEnd"/>
      <w:r>
        <w:t xml:space="preserve"> </w:t>
      </w:r>
      <w:proofErr w:type="spellStart"/>
      <w:r>
        <w:t>Radler</w:t>
      </w:r>
      <w:proofErr w:type="spellEnd"/>
      <w:r>
        <w:t xml:space="preserve"> Publication </w:t>
      </w:r>
      <w:hyperlink r:id="rId15" w:history="1">
        <w:r>
          <w:rPr>
            <w:rStyle w:val="Hyperlink"/>
            <w:rFonts w:eastAsiaTheme="majorEastAsia"/>
          </w:rPr>
          <w:t>http://www.rivkinradler.com/rivkinradler/rivkinradler_news.asp?mynewssearch=practice</w:t>
        </w:r>
      </w:hyperlink>
    </w:p>
    <w:p w:rsidR="00FF365E" w:rsidRDefault="00FF365E" w:rsidP="00FF365E">
      <w:pPr>
        <w:pStyle w:val="BodyTextIndent"/>
        <w:ind w:left="360" w:hanging="360"/>
      </w:pPr>
    </w:p>
    <w:p w:rsidR="00FF365E" w:rsidRDefault="00FF365E" w:rsidP="00FF365E">
      <w:pPr>
        <w:pStyle w:val="BodyTextIndent"/>
        <w:ind w:left="360" w:hanging="360"/>
      </w:pPr>
      <w:r>
        <w:t xml:space="preserve">Vaughn, Kristi. 2004. “Life Insurance for a Non-working Spouse” Preferred Consumer.com. </w:t>
      </w:r>
      <w:hyperlink r:id="rId16" w:history="1">
        <w:r>
          <w:rPr>
            <w:rStyle w:val="Hyperlink"/>
            <w:rFonts w:eastAsiaTheme="majorEastAsia"/>
          </w:rPr>
          <w:t>http://www.preferredconsumer.com/front_page/publish/Life_Insurance_for_a__Non-working_Spouse_.html</w:t>
        </w:r>
      </w:hyperlink>
    </w:p>
    <w:p w:rsidR="00FF365E" w:rsidRDefault="00FF365E" w:rsidP="00FF365E">
      <w:pPr>
        <w:pStyle w:val="BodyTextIndent"/>
        <w:ind w:left="360" w:hanging="360"/>
      </w:pPr>
    </w:p>
    <w:p w:rsidR="00FF365E" w:rsidRPr="00531C15" w:rsidRDefault="00FF365E" w:rsidP="00FF365E">
      <w:pPr>
        <w:pStyle w:val="BodyTextIndent"/>
        <w:ind w:left="360" w:hanging="360"/>
        <w:rPr>
          <w:i/>
          <w:lang w:val="en-US"/>
        </w:rPr>
      </w:pPr>
      <w:r>
        <w:t xml:space="preserve">Weaver, Richard. 2003. “Business Valuation and Estate Planning” </w:t>
      </w:r>
      <w:r>
        <w:rPr>
          <w:i/>
        </w:rPr>
        <w:t>Academy of Life Underwriting, 2004-2005 Education Program</w:t>
      </w:r>
      <w:r>
        <w:rPr>
          <w:i/>
          <w:lang w:val="en-US"/>
        </w:rPr>
        <w:t>.</w:t>
      </w:r>
    </w:p>
    <w:p w:rsidR="00C70C30" w:rsidRPr="00993DE5" w:rsidRDefault="00FF365E" w:rsidP="00FF365E">
      <w:r>
        <w:rPr>
          <w:i/>
          <w:sz w:val="24"/>
        </w:rPr>
        <w:br w:type="page"/>
      </w:r>
    </w:p>
    <w:sectPr w:rsidR="00C70C30" w:rsidRPr="00993DE5" w:rsidSect="00C250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D7" w:rsidRDefault="00733DD7" w:rsidP="007C3ACB">
      <w:r>
        <w:separator/>
      </w:r>
    </w:p>
  </w:endnote>
  <w:endnote w:type="continuationSeparator" w:id="0">
    <w:p w:rsidR="00733DD7" w:rsidRDefault="00733DD7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D7" w:rsidRDefault="00733DD7" w:rsidP="007C3ACB">
      <w:r>
        <w:separator/>
      </w:r>
    </w:p>
  </w:footnote>
  <w:footnote w:type="continuationSeparator" w:id="0">
    <w:p w:rsidR="00733DD7" w:rsidRDefault="00733DD7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A1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771F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32FB3"/>
    <w:rsid w:val="00733DD7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D41CA"/>
    <w:rsid w:val="008E1C24"/>
    <w:rsid w:val="0094725D"/>
    <w:rsid w:val="009642B8"/>
    <w:rsid w:val="00971C3D"/>
    <w:rsid w:val="00971E9F"/>
    <w:rsid w:val="00990300"/>
    <w:rsid w:val="00990982"/>
    <w:rsid w:val="00993DE5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1A1"/>
    <w:rsid w:val="00F943C4"/>
    <w:rsid w:val="00FB108C"/>
    <w:rsid w:val="00FC2A73"/>
    <w:rsid w:val="00FC6F8B"/>
    <w:rsid w:val="00FD0908"/>
    <w:rsid w:val="00FD6BA9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CCF43-DB3A-47FB-A1E4-1D9237B3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1A1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 w:val="24"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 w:line="264" w:lineRule="auto"/>
      <w:outlineLvl w:val="1"/>
    </w:pPr>
    <w:rPr>
      <w:rFonts w:ascii="Arial" w:hAnsi="Arial" w:cs="Arial"/>
      <w:b/>
      <w:szCs w:val="22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 w:line="264" w:lineRule="auto"/>
      <w:outlineLvl w:val="4"/>
    </w:pPr>
    <w:rPr>
      <w:rFonts w:asciiTheme="majorHAnsi" w:eastAsiaTheme="majorEastAsia" w:hAnsiTheme="majorHAnsi" w:cstheme="majorBidi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Cs w:val="22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 w:line="264" w:lineRule="auto"/>
      <w:outlineLvl w:val="7"/>
    </w:pPr>
    <w:rPr>
      <w:rFonts w:asciiTheme="majorHAnsi" w:eastAsiaTheme="majorEastAsia" w:hAnsiTheme="majorHAnsi" w:cstheme="majorBidi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 w:line="264" w:lineRule="auto"/>
    </w:pPr>
    <w:rPr>
      <w:rFonts w:ascii="Arial" w:hAnsi="Arial" w:cs="Arial"/>
      <w:b/>
      <w:bCs/>
      <w:sz w:val="22"/>
      <w:szCs w:val="22"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spacing w:line="264" w:lineRule="auto"/>
      <w:ind w:left="284"/>
    </w:pPr>
    <w:rPr>
      <w:rFonts w:ascii="Arial" w:hAnsi="Arial" w:cs="Arial"/>
      <w:sz w:val="22"/>
      <w:szCs w:val="22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spacing w:line="264" w:lineRule="auto"/>
      <w:contextualSpacing/>
    </w:pPr>
    <w:rPr>
      <w:rFonts w:ascii="Arial" w:hAnsi="Arial" w:cs="Arial"/>
      <w:sz w:val="22"/>
      <w:szCs w:val="22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spacing w:line="264" w:lineRule="auto"/>
      <w:jc w:val="right"/>
    </w:pPr>
    <w:rPr>
      <w:rFonts w:ascii="Arial" w:hAnsi="Arial" w:cs="Arial"/>
      <w:sz w:val="22"/>
      <w:szCs w:val="22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  <w:spacing w:line="264" w:lineRule="auto"/>
    </w:pPr>
    <w:rPr>
      <w:rFonts w:ascii="Arial" w:hAnsi="Arial" w:cs="Arial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851" w:right="567" w:hanging="85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rFonts w:ascii="Arial" w:hAnsi="Arial" w:cs="Arial"/>
      <w:color w:val="4D4D4D"/>
      <w:sz w:val="13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rFonts w:ascii="Arial" w:hAnsi="Arial" w:cs="Arial"/>
      <w:sz w:val="15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styleId="BodyTextIndent">
    <w:name w:val="Body Text Indent"/>
    <w:basedOn w:val="Normal"/>
    <w:link w:val="BodyTextIndentChar"/>
    <w:semiHidden/>
    <w:rsid w:val="00F941A1"/>
    <w:pPr>
      <w:ind w:firstLine="720"/>
    </w:pPr>
    <w:rPr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41A1"/>
    <w:rPr>
      <w:rFonts w:ascii="Times New Roman" w:hAnsi="Times New Roman" w:cs="Times New Roman"/>
      <w:sz w:val="24"/>
      <w:szCs w:val="20"/>
      <w:lang w:val="x-none" w:eastAsia="x-none"/>
    </w:rPr>
  </w:style>
  <w:style w:type="character" w:styleId="EndnoteReference">
    <w:name w:val="endnote reference"/>
    <w:semiHidden/>
    <w:rsid w:val="00F941A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941A1"/>
  </w:style>
  <w:style w:type="character" w:customStyle="1" w:styleId="EndnoteTextChar">
    <w:name w:val="Endnote Text Char"/>
    <w:basedOn w:val="DefaultParagraphFont"/>
    <w:link w:val="EndnoteText"/>
    <w:semiHidden/>
    <w:rsid w:val="00F941A1"/>
    <w:rPr>
      <w:rFonts w:ascii="Times New Roman" w:hAnsi="Times New Roman" w:cs="Times New Roman"/>
      <w:sz w:val="20"/>
      <w:szCs w:val="20"/>
      <w:lang w:val="en-US" w:eastAsia="en-US"/>
    </w:rPr>
  </w:style>
  <w:style w:type="character" w:styleId="HTMLCite">
    <w:name w:val="HTML Cite"/>
    <w:semiHidden/>
    <w:unhideWhenUsed/>
    <w:rsid w:val="00F941A1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-arc.gc.ca/tax/individuals/faq/2004_rate-e.html" TargetMode="External"/><Relationship Id="rId13" Type="http://schemas.openxmlformats.org/officeDocument/2006/relationships/hyperlink" Target="http://www.irs.gov/publications/p950/ar02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pgdc.com/usa/item/?itemID=21026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eferredconsumer.com/front_page/publish/Life_Insurance_for_a__Non-working_Spouse_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ey.cnn.com/2002/04/30/pf/insurance/q_stayathom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ivkinradler.com/rivkinradler/rivkinradler_news.asp?mynewssearch=pract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surance.com/Article.aspx/artid/23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urance-canada.ca/consinfolife/l24.php" TargetMode="External"/><Relationship Id="rId14" Type="http://schemas.openxmlformats.org/officeDocument/2006/relationships/hyperlink" Target="http://www.irs.gov/businesses/small/article/0,,id=98968,00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D618-FD22-4DD1-9939-B517E626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3505</Characters>
  <Application>Microsoft Office Word</Application>
  <DocSecurity>0</DocSecurity>
  <Lines>92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McDonald Jodi</dc:creator>
  <cp:lastModifiedBy>Andrew Langemeier</cp:lastModifiedBy>
  <cp:revision>2</cp:revision>
  <cp:lastPrinted>2012-11-08T13:15:00Z</cp:lastPrinted>
  <dcterms:created xsi:type="dcterms:W3CDTF">2018-09-06T17:39:00Z</dcterms:created>
  <dcterms:modified xsi:type="dcterms:W3CDTF">2018-09-06T17:39:00Z</dcterms:modified>
</cp:coreProperties>
</file>