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D17C52" w:rsidP="00D17C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Endnotes</w:t>
      </w:r>
    </w:p>
    <w:p w:rsidR="00D17C52" w:rsidRDefault="00D17C52" w:rsidP="00D17C52">
      <w:pPr>
        <w:jc w:val="center"/>
        <w:rPr>
          <w:b/>
          <w:sz w:val="24"/>
          <w:szCs w:val="24"/>
        </w:rPr>
      </w:pP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 w:rsidRPr="006065D4">
        <w:rPr>
          <w:rStyle w:val="EndnoteReference"/>
          <w:sz w:val="28"/>
          <w:szCs w:val="28"/>
        </w:rPr>
        <w:t xml:space="preserve"> Public Law 104-191, August 21, 1996</w:t>
      </w:r>
      <w:r w:rsidR="00D917C5">
        <w:rPr>
          <w:rStyle w:val="EndnoteReference"/>
          <w:sz w:val="28"/>
          <w:szCs w:val="28"/>
        </w:rPr>
        <w:t>.</w:t>
      </w: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>
        <w:rPr>
          <w:rStyle w:val="EndnoteReference"/>
          <w:sz w:val="28"/>
          <w:szCs w:val="28"/>
        </w:rPr>
        <w:t>2</w:t>
      </w:r>
      <w:r w:rsidRPr="006065D4">
        <w:rPr>
          <w:rStyle w:val="EndnoteReference"/>
          <w:sz w:val="28"/>
          <w:szCs w:val="28"/>
        </w:rPr>
        <w:t xml:space="preserve">  See </w:t>
      </w:r>
      <w:hyperlink r:id="rId8" w:history="1">
        <w:r w:rsidRPr="006065D4">
          <w:rPr>
            <w:rStyle w:val="EndnoteReference"/>
            <w:sz w:val="28"/>
            <w:szCs w:val="28"/>
          </w:rPr>
          <w:t>www.hhs.gov/ocr/hipaa</w:t>
        </w:r>
      </w:hyperlink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>
        <w:rPr>
          <w:rStyle w:val="EndnoteReference"/>
          <w:sz w:val="28"/>
          <w:szCs w:val="28"/>
        </w:rPr>
        <w:t>3</w:t>
      </w:r>
      <w:r w:rsidRPr="006065D4">
        <w:rPr>
          <w:rStyle w:val="EndnoteReference"/>
          <w:sz w:val="28"/>
          <w:szCs w:val="28"/>
        </w:rPr>
        <w:t xml:space="preserve"> See </w:t>
      </w:r>
      <w:hyperlink r:id="rId9" w:history="1">
        <w:r w:rsidRPr="006065D4">
          <w:rPr>
            <w:rStyle w:val="EndnoteReference"/>
            <w:sz w:val="28"/>
            <w:szCs w:val="28"/>
          </w:rPr>
          <w:t>www.clhia.ca/index_en.htm</w:t>
        </w:r>
      </w:hyperlink>
    </w:p>
    <w:p w:rsidR="00D17C52" w:rsidRDefault="00D17C52" w:rsidP="00D17C52">
      <w:pPr>
        <w:pStyle w:val="EndnoteText"/>
      </w:pPr>
      <w:r>
        <w:rPr>
          <w:rStyle w:val="EndnoteReference"/>
        </w:rPr>
        <w:t>4</w:t>
      </w:r>
      <w:r w:rsidRPr="00891B29">
        <w:t xml:space="preserve"> See </w:t>
      </w:r>
      <w:hyperlink r:id="rId10" w:history="1">
        <w:r w:rsidRPr="00A666D7">
          <w:rPr>
            <w:rStyle w:val="Hyperlink"/>
          </w:rPr>
          <w:t>www.priv.gc.ca/leg_c_p_e.asp</w:t>
        </w:r>
      </w:hyperlink>
    </w:p>
    <w:p w:rsidR="00D17C52" w:rsidRPr="00891B29" w:rsidRDefault="00D17C52" w:rsidP="00D17C52">
      <w:pPr>
        <w:pStyle w:val="EndnoteText"/>
      </w:pP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>
        <w:rPr>
          <w:rStyle w:val="EndnoteReference"/>
          <w:sz w:val="28"/>
          <w:szCs w:val="28"/>
        </w:rPr>
        <w:t>5</w:t>
      </w:r>
      <w:r w:rsidRPr="006065D4">
        <w:rPr>
          <w:rStyle w:val="EndnoteReference"/>
          <w:sz w:val="28"/>
          <w:szCs w:val="28"/>
        </w:rPr>
        <w:t xml:space="preserve"> R.S.O. 1990, Chapter C 33</w:t>
      </w:r>
      <w:r w:rsidR="00D917C5">
        <w:rPr>
          <w:rStyle w:val="EndnoteReference"/>
          <w:sz w:val="28"/>
          <w:szCs w:val="28"/>
        </w:rPr>
        <w:t>.</w:t>
      </w:r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>
        <w:rPr>
          <w:rStyle w:val="EndnoteReference"/>
          <w:color w:val="auto"/>
          <w:sz w:val="28"/>
          <w:szCs w:val="28"/>
        </w:rPr>
        <w:t>6</w:t>
      </w:r>
      <w:r w:rsidRPr="006065D4">
        <w:rPr>
          <w:rStyle w:val="EndnoteReference"/>
          <w:color w:val="auto"/>
          <w:sz w:val="28"/>
          <w:szCs w:val="28"/>
        </w:rPr>
        <w:t xml:space="preserve"> Public Law 107-56</w:t>
      </w:r>
      <w:r w:rsidR="00D917C5">
        <w:rPr>
          <w:rStyle w:val="EndnoteReference"/>
          <w:color w:val="auto"/>
          <w:sz w:val="28"/>
          <w:szCs w:val="28"/>
        </w:rPr>
        <w:t>.</w:t>
      </w:r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>
        <w:rPr>
          <w:rStyle w:val="EndnoteReference"/>
          <w:color w:val="auto"/>
          <w:sz w:val="28"/>
          <w:szCs w:val="28"/>
        </w:rPr>
        <w:t>7</w:t>
      </w:r>
      <w:r w:rsidRPr="006065D4">
        <w:rPr>
          <w:rStyle w:val="EndnoteReference"/>
          <w:color w:val="auto"/>
          <w:sz w:val="28"/>
          <w:szCs w:val="28"/>
        </w:rPr>
        <w:t xml:space="preserve"> “Stranger-Owned Life Insurance ("SOLI"): Killing the Goose That Lays Golden Eggs!” http://www.pgdc.com/usa/item/?itemID=261283</w:t>
      </w:r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>
        <w:rPr>
          <w:rStyle w:val="EndnoteReference"/>
          <w:color w:val="auto"/>
          <w:sz w:val="28"/>
          <w:szCs w:val="28"/>
        </w:rPr>
        <w:t>8</w:t>
      </w:r>
      <w:r w:rsidRPr="006065D4">
        <w:rPr>
          <w:rStyle w:val="EndnoteReference"/>
          <w:color w:val="auto"/>
          <w:sz w:val="28"/>
          <w:szCs w:val="28"/>
        </w:rPr>
        <w:t xml:space="preserve"> Baer, Marvin G. "Recent Developments in Canadian Law: Insurance Law" </w:t>
      </w:r>
      <w:bookmarkStart w:id="1" w:name="reflex-caselaw-12472042"/>
      <w:bookmarkEnd w:id="1"/>
      <w:r w:rsidRPr="006065D4">
        <w:rPr>
          <w:rStyle w:val="EndnoteReference"/>
          <w:color w:val="auto"/>
          <w:sz w:val="28"/>
          <w:szCs w:val="28"/>
        </w:rPr>
        <w:t>(1985), 17 Ottawa Law Rev. 631.</w:t>
      </w: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>
        <w:rPr>
          <w:rStyle w:val="EndnoteReference"/>
          <w:sz w:val="28"/>
          <w:szCs w:val="28"/>
        </w:rPr>
        <w:t>9</w:t>
      </w:r>
      <w:r w:rsidRPr="006065D4">
        <w:rPr>
          <w:rStyle w:val="EndnoteReference"/>
          <w:sz w:val="28"/>
          <w:szCs w:val="28"/>
        </w:rPr>
        <w:t xml:space="preserve"> See Office of General Counsel Opinion, July 7, 2003, </w:t>
      </w:r>
      <w:hyperlink r:id="rId11" w:history="1">
        <w:r w:rsidRPr="006065D4">
          <w:rPr>
            <w:rStyle w:val="EndnoteReference"/>
            <w:sz w:val="28"/>
            <w:szCs w:val="28"/>
          </w:rPr>
          <w:t>http://www.ins.state.ny.us/rg030739.htm</w:t>
        </w:r>
      </w:hyperlink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 w:rsidRPr="006065D4">
        <w:rPr>
          <w:rStyle w:val="EndnoteReference"/>
          <w:color w:val="auto"/>
          <w:sz w:val="28"/>
          <w:szCs w:val="28"/>
        </w:rPr>
        <w:footnoteRef/>
      </w:r>
      <w:r>
        <w:rPr>
          <w:rStyle w:val="EndnoteReference"/>
          <w:color w:val="auto"/>
          <w:sz w:val="28"/>
          <w:szCs w:val="28"/>
        </w:rPr>
        <w:t>0</w:t>
      </w:r>
      <w:r w:rsidRPr="006065D4">
        <w:rPr>
          <w:rStyle w:val="EndnoteReference"/>
          <w:color w:val="auto"/>
          <w:sz w:val="28"/>
          <w:szCs w:val="28"/>
        </w:rPr>
        <w:t xml:space="preserve"> H.R. 2251</w:t>
      </w:r>
      <w:r w:rsidR="00D917C5">
        <w:rPr>
          <w:rStyle w:val="EndnoteReference"/>
          <w:color w:val="auto"/>
          <w:sz w:val="28"/>
          <w:szCs w:val="28"/>
        </w:rPr>
        <w:t>.</w:t>
      </w: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1</w:t>
      </w:r>
      <w:r w:rsidRPr="006065D4">
        <w:rPr>
          <w:rStyle w:val="EndnoteReference"/>
          <w:sz w:val="28"/>
          <w:szCs w:val="28"/>
        </w:rPr>
        <w:t xml:space="preserve"> See </w:t>
      </w:r>
      <w:hyperlink r:id="rId12" w:history="1">
        <w:r w:rsidRPr="006065D4">
          <w:rPr>
            <w:rStyle w:val="EndnoteReference"/>
            <w:sz w:val="28"/>
            <w:szCs w:val="28"/>
          </w:rPr>
          <w:t>http://www.naic.org/library/reference/subjects/life_insurance_accelerated_benefits.htm</w:t>
        </w:r>
      </w:hyperlink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2</w:t>
      </w:r>
      <w:r w:rsidRPr="006065D4">
        <w:rPr>
          <w:rStyle w:val="EndnoteReference"/>
          <w:sz w:val="28"/>
          <w:szCs w:val="28"/>
        </w:rPr>
        <w:t xml:space="preserve"> See </w:t>
      </w:r>
      <w:hyperlink r:id="rId13" w:history="1">
        <w:r w:rsidRPr="006065D4">
          <w:rPr>
            <w:rStyle w:val="EndnoteReference"/>
            <w:sz w:val="28"/>
            <w:szCs w:val="28"/>
          </w:rPr>
          <w:t>http://www.</w:t>
        </w:r>
        <w:r w:rsidRPr="00EA6372">
          <w:rPr>
            <w:rStyle w:val="EndnoteReference"/>
            <w:sz w:val="28"/>
            <w:szCs w:val="28"/>
          </w:rPr>
          <w:t>gao.gov</w:t>
        </w:r>
        <w:r w:rsidRPr="006065D4">
          <w:rPr>
            <w:rStyle w:val="EndnoteReference"/>
            <w:sz w:val="28"/>
            <w:szCs w:val="28"/>
          </w:rPr>
          <w:t>.com/</w:t>
        </w:r>
      </w:hyperlink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3</w:t>
      </w:r>
      <w:r w:rsidRPr="006065D4">
        <w:rPr>
          <w:rStyle w:val="EndnoteReference"/>
          <w:sz w:val="28"/>
          <w:szCs w:val="28"/>
        </w:rPr>
        <w:t xml:space="preserve"> See </w:t>
      </w:r>
      <w:hyperlink r:id="rId14" w:history="1">
        <w:r w:rsidRPr="006065D4">
          <w:rPr>
            <w:rStyle w:val="EndnoteReference"/>
            <w:sz w:val="28"/>
            <w:szCs w:val="28"/>
          </w:rPr>
          <w:t>http://www.brownbrown-assoc.com/articles</w:t>
        </w:r>
      </w:hyperlink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4</w:t>
      </w:r>
      <w:r w:rsidRPr="006065D4">
        <w:rPr>
          <w:rStyle w:val="EndnoteReference"/>
          <w:sz w:val="28"/>
          <w:szCs w:val="28"/>
        </w:rPr>
        <w:t xml:space="preserve"> See www.acli.com</w:t>
      </w:r>
    </w:p>
    <w:p w:rsidR="00D17C52" w:rsidRPr="006065D4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5</w:t>
      </w:r>
      <w:r w:rsidRPr="006065D4">
        <w:rPr>
          <w:rStyle w:val="EndnoteReference"/>
          <w:sz w:val="28"/>
          <w:szCs w:val="28"/>
        </w:rPr>
        <w:t xml:space="preserve"> See </w:t>
      </w:r>
      <w:hyperlink r:id="rId15" w:history="1">
        <w:r w:rsidRPr="006065D4">
          <w:rPr>
            <w:rStyle w:val="EndnoteReference"/>
            <w:sz w:val="28"/>
            <w:szCs w:val="28"/>
          </w:rPr>
          <w:t>www.naic.org</w:t>
        </w:r>
      </w:hyperlink>
      <w:r w:rsidRPr="006065D4">
        <w:rPr>
          <w:rStyle w:val="EndnoteReference"/>
          <w:sz w:val="28"/>
          <w:szCs w:val="28"/>
        </w:rPr>
        <w:t xml:space="preserve"> (under NAIC Store)</w:t>
      </w:r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 w:rsidRPr="006065D4">
        <w:rPr>
          <w:rStyle w:val="EndnoteReference"/>
          <w:color w:val="auto"/>
          <w:sz w:val="28"/>
          <w:szCs w:val="28"/>
        </w:rPr>
        <w:footnoteRef/>
      </w:r>
      <w:r>
        <w:rPr>
          <w:rStyle w:val="EndnoteReference"/>
          <w:color w:val="auto"/>
          <w:sz w:val="28"/>
          <w:szCs w:val="28"/>
        </w:rPr>
        <w:t>6</w:t>
      </w:r>
      <w:r w:rsidRPr="006065D4">
        <w:rPr>
          <w:rStyle w:val="EndnoteReference"/>
          <w:color w:val="auto"/>
          <w:sz w:val="28"/>
          <w:szCs w:val="28"/>
        </w:rPr>
        <w:t xml:space="preserve"> Tang, Marjorie and Paul </w:t>
      </w:r>
      <w:proofErr w:type="spellStart"/>
      <w:r w:rsidRPr="006065D4">
        <w:rPr>
          <w:rStyle w:val="EndnoteReference"/>
          <w:color w:val="auto"/>
          <w:sz w:val="28"/>
          <w:szCs w:val="28"/>
        </w:rPr>
        <w:t>Vienneau</w:t>
      </w:r>
      <w:proofErr w:type="spellEnd"/>
      <w:r w:rsidRPr="006065D4">
        <w:rPr>
          <w:rStyle w:val="EndnoteReference"/>
          <w:color w:val="auto"/>
          <w:sz w:val="28"/>
          <w:szCs w:val="28"/>
        </w:rPr>
        <w:t>. “Tax Banks and Life Insurers.” CA Magazine, October, 2004.</w:t>
      </w:r>
    </w:p>
    <w:p w:rsidR="00D17C52" w:rsidRPr="006065D4" w:rsidRDefault="00D17C52" w:rsidP="00D17C52">
      <w:pPr>
        <w:pStyle w:val="BodyText"/>
        <w:spacing w:line="240" w:lineRule="auto"/>
        <w:rPr>
          <w:rStyle w:val="EndnoteReference"/>
          <w:color w:val="auto"/>
          <w:sz w:val="28"/>
          <w:szCs w:val="28"/>
        </w:rPr>
      </w:pPr>
      <w:r w:rsidRPr="006065D4">
        <w:rPr>
          <w:rStyle w:val="EndnoteReference"/>
          <w:color w:val="auto"/>
          <w:sz w:val="28"/>
          <w:szCs w:val="28"/>
        </w:rPr>
        <w:footnoteRef/>
      </w:r>
      <w:r>
        <w:rPr>
          <w:rStyle w:val="EndnoteReference"/>
          <w:color w:val="auto"/>
          <w:sz w:val="28"/>
          <w:szCs w:val="28"/>
        </w:rPr>
        <w:t>7</w:t>
      </w:r>
      <w:r w:rsidRPr="006065D4">
        <w:rPr>
          <w:rStyle w:val="EndnoteReference"/>
          <w:color w:val="auto"/>
          <w:sz w:val="28"/>
          <w:szCs w:val="28"/>
        </w:rPr>
        <w:t xml:space="preserve"> Cummins, David. Consolidation and Efficiency in the United States Life Insurance Industry. </w:t>
      </w:r>
      <w:hyperlink r:id="rId16" w:history="1">
        <w:r w:rsidRPr="006065D4">
          <w:rPr>
            <w:rStyle w:val="EndnoteReference"/>
            <w:color w:val="auto"/>
            <w:sz w:val="28"/>
            <w:szCs w:val="28"/>
          </w:rPr>
          <w:t>upenn.edu/fic/</w:t>
        </w:r>
        <w:proofErr w:type="spellStart"/>
        <w:r w:rsidRPr="006065D4">
          <w:rPr>
            <w:rStyle w:val="EndnoteReference"/>
            <w:color w:val="auto"/>
            <w:sz w:val="28"/>
            <w:szCs w:val="28"/>
          </w:rPr>
          <w:t>wfic</w:t>
        </w:r>
        <w:proofErr w:type="spellEnd"/>
        <w:r w:rsidRPr="006065D4">
          <w:rPr>
            <w:rStyle w:val="EndnoteReference"/>
            <w:color w:val="auto"/>
            <w:sz w:val="28"/>
            <w:szCs w:val="28"/>
          </w:rPr>
          <w:t>/papers/98...9808.pdf</w:t>
        </w:r>
      </w:hyperlink>
    </w:p>
    <w:p w:rsidR="00D17C52" w:rsidRDefault="00D17C52" w:rsidP="00D17C52">
      <w:pPr>
        <w:pStyle w:val="EndnoteText"/>
        <w:rPr>
          <w:sz w:val="28"/>
          <w:szCs w:val="28"/>
        </w:rPr>
      </w:pPr>
      <w:r w:rsidRPr="006065D4">
        <w:rPr>
          <w:rStyle w:val="EndnoteReference"/>
          <w:sz w:val="28"/>
          <w:szCs w:val="28"/>
        </w:rPr>
        <w:footnoteRef/>
      </w:r>
      <w:r>
        <w:rPr>
          <w:rStyle w:val="EndnoteReference"/>
          <w:sz w:val="28"/>
          <w:szCs w:val="28"/>
        </w:rPr>
        <w:t>8</w:t>
      </w:r>
      <w:r w:rsidRPr="006065D4">
        <w:rPr>
          <w:rStyle w:val="EndnoteReference"/>
          <w:sz w:val="28"/>
          <w:szCs w:val="28"/>
        </w:rPr>
        <w:t xml:space="preserve"> </w:t>
      </w:r>
      <w:r w:rsidR="007766C2">
        <w:rPr>
          <w:rStyle w:val="EndnoteReference"/>
          <w:sz w:val="28"/>
          <w:szCs w:val="28"/>
        </w:rPr>
        <w:t xml:space="preserve">See </w:t>
      </w:r>
      <w:hyperlink r:id="rId17" w:history="1">
        <w:r w:rsidRPr="006065D4">
          <w:rPr>
            <w:rStyle w:val="EndnoteReference"/>
            <w:sz w:val="28"/>
            <w:szCs w:val="28"/>
          </w:rPr>
          <w:t>www.FINRA.org</w:t>
        </w:r>
      </w:hyperlink>
    </w:p>
    <w:p w:rsidR="00D17C52" w:rsidRDefault="00D17C52" w:rsidP="00D17C52">
      <w:pPr>
        <w:pStyle w:val="EndnoteText"/>
      </w:pPr>
      <w:r w:rsidRPr="00A61C24">
        <w:rPr>
          <w:rStyle w:val="EndnoteReference"/>
        </w:rPr>
        <w:t>1</w:t>
      </w:r>
      <w:r>
        <w:rPr>
          <w:rStyle w:val="EndnoteReference"/>
        </w:rPr>
        <w:t>9</w:t>
      </w:r>
      <w:r>
        <w:t xml:space="preserve"> </w:t>
      </w:r>
      <w:r w:rsidRPr="00A61C24">
        <w:rPr>
          <w:rStyle w:val="EndnoteReference"/>
        </w:rPr>
        <w:t xml:space="preserve"> </w:t>
      </w:r>
      <w:r w:rsidR="007766C2" w:rsidRPr="007766C2">
        <w:rPr>
          <w:rStyle w:val="EndnoteReference"/>
          <w:sz w:val="28"/>
          <w:szCs w:val="28"/>
        </w:rPr>
        <w:t>See</w:t>
      </w:r>
      <w:r w:rsidR="007766C2">
        <w:rPr>
          <w:rStyle w:val="EndnoteReference"/>
        </w:rPr>
        <w:t xml:space="preserve"> </w:t>
      </w:r>
      <w:hyperlink r:id="rId18" w:history="1">
        <w:r w:rsidRPr="00D917C5">
          <w:rPr>
            <w:rStyle w:val="Hyperlink"/>
            <w:sz w:val="18"/>
            <w:szCs w:val="18"/>
          </w:rPr>
          <w:t>www.FINRA.org</w:t>
        </w:r>
      </w:hyperlink>
    </w:p>
    <w:p w:rsidR="00D17C52" w:rsidRPr="00A61C24" w:rsidRDefault="00D17C52" w:rsidP="00D17C52">
      <w:pPr>
        <w:pStyle w:val="EndnoteText"/>
        <w:rPr>
          <w:rStyle w:val="EndnoteReference"/>
        </w:rPr>
      </w:pPr>
    </w:p>
    <w:p w:rsidR="00D17C52" w:rsidRDefault="00D17C52" w:rsidP="00D17C52">
      <w:pPr>
        <w:pStyle w:val="EndnoteText"/>
      </w:pPr>
      <w:r w:rsidRPr="00A61C24">
        <w:rPr>
          <w:rStyle w:val="EndnoteReference"/>
        </w:rPr>
        <w:t>2</w:t>
      </w:r>
      <w:r>
        <w:rPr>
          <w:rStyle w:val="EndnoteReference"/>
        </w:rPr>
        <w:t>0</w:t>
      </w:r>
      <w:r>
        <w:t xml:space="preserve">  </w:t>
      </w:r>
      <w:r w:rsidR="007766C2" w:rsidRPr="007766C2">
        <w:rPr>
          <w:sz w:val="18"/>
          <w:szCs w:val="18"/>
        </w:rPr>
        <w:t>See</w:t>
      </w:r>
      <w:r w:rsidR="007766C2">
        <w:t xml:space="preserve"> </w:t>
      </w:r>
      <w:hyperlink r:id="rId19" w:history="1">
        <w:r w:rsidRPr="00D917C5">
          <w:rPr>
            <w:rStyle w:val="Hyperlink"/>
            <w:sz w:val="18"/>
            <w:szCs w:val="18"/>
          </w:rPr>
          <w:t>www.acli.com</w:t>
        </w:r>
      </w:hyperlink>
    </w:p>
    <w:p w:rsidR="00D17C52" w:rsidRPr="00A61C24" w:rsidRDefault="00D17C52" w:rsidP="00D17C52">
      <w:pPr>
        <w:pStyle w:val="EndnoteText"/>
      </w:pPr>
    </w:p>
    <w:p w:rsidR="00D17C52" w:rsidRPr="00891B29" w:rsidRDefault="00D17C52" w:rsidP="00D17C52">
      <w:pPr>
        <w:pStyle w:val="EndnoteText"/>
        <w:rPr>
          <w:rStyle w:val="EndnoteReference"/>
          <w:sz w:val="28"/>
          <w:szCs w:val="28"/>
        </w:rPr>
      </w:pPr>
      <w:r w:rsidRPr="00A61C24">
        <w:rPr>
          <w:rStyle w:val="EndnoteReference"/>
        </w:rPr>
        <w:t>2</w:t>
      </w:r>
      <w:r>
        <w:rPr>
          <w:rStyle w:val="EndnoteReference"/>
        </w:rPr>
        <w:t>1</w:t>
      </w:r>
      <w:r>
        <w:t xml:space="preserve"> </w:t>
      </w:r>
      <w:r w:rsidR="007766C2">
        <w:t xml:space="preserve"> </w:t>
      </w:r>
      <w:r w:rsidR="007766C2" w:rsidRPr="007766C2">
        <w:rPr>
          <w:sz w:val="18"/>
          <w:szCs w:val="18"/>
        </w:rPr>
        <w:t>See</w:t>
      </w:r>
      <w:r w:rsidR="007766C2">
        <w:t xml:space="preserve"> </w:t>
      </w:r>
      <w:r w:rsidRPr="00D917C5">
        <w:rPr>
          <w:sz w:val="18"/>
          <w:szCs w:val="18"/>
        </w:rPr>
        <w:t>www.naifa.com</w:t>
      </w:r>
    </w:p>
    <w:p w:rsidR="00D17C52" w:rsidRDefault="00D17C52" w:rsidP="00D17C52"/>
    <w:p w:rsidR="00D17C52" w:rsidRDefault="00D17C52" w:rsidP="00D17C52"/>
    <w:p w:rsidR="00D17C52" w:rsidRDefault="00D17C52" w:rsidP="00D17C52">
      <w:pPr>
        <w:jc w:val="center"/>
        <w:rPr>
          <w:b/>
        </w:rPr>
      </w:pPr>
      <w:r>
        <w:rPr>
          <w:b/>
        </w:rPr>
        <w:t>Selected Bibliography</w:t>
      </w:r>
    </w:p>
    <w:p w:rsidR="00D17C52" w:rsidRDefault="00D17C52" w:rsidP="00D17C52">
      <w:pPr>
        <w:rPr>
          <w:b/>
        </w:rPr>
      </w:pPr>
    </w:p>
    <w:p w:rsidR="00D17C52" w:rsidRDefault="00D17C52" w:rsidP="00D17C52">
      <w:pPr>
        <w:spacing w:before="100" w:after="100"/>
      </w:pPr>
      <w:r>
        <w:t xml:space="preserve">Brown, Craig and Julio Menezes. </w:t>
      </w:r>
      <w:r>
        <w:rPr>
          <w:i/>
        </w:rPr>
        <w:t>Insurance Law in Canada</w:t>
      </w:r>
      <w:r>
        <w:t xml:space="preserve">. Toronto: </w:t>
      </w:r>
      <w:proofErr w:type="spellStart"/>
      <w:r>
        <w:t>Carswells</w:t>
      </w:r>
      <w:proofErr w:type="spellEnd"/>
      <w:r>
        <w:t>, 1982.</w:t>
      </w:r>
    </w:p>
    <w:p w:rsidR="00D17C52" w:rsidRDefault="00D17C52" w:rsidP="00D17C52">
      <w:pPr>
        <w:spacing w:before="100" w:after="100"/>
      </w:pPr>
    </w:p>
    <w:p w:rsidR="00D17C52" w:rsidRDefault="00D17C52" w:rsidP="00D17C52">
      <w:pPr>
        <w:spacing w:before="100" w:after="100"/>
      </w:pPr>
      <w:r>
        <w:t xml:space="preserve">Campbell, A. J. "Some Aspects of Insurable Interest" </w:t>
      </w:r>
      <w:bookmarkStart w:id="2" w:name="reflex-caselaw-12472044"/>
      <w:bookmarkEnd w:id="2"/>
      <w:r>
        <w:t xml:space="preserve">(1949), 27 </w:t>
      </w:r>
      <w:r>
        <w:rPr>
          <w:i/>
        </w:rPr>
        <w:t>Can. Bar Rev.</w:t>
      </w:r>
      <w:r>
        <w:t xml:space="preserve"> 1.</w:t>
      </w:r>
    </w:p>
    <w:p w:rsidR="00D17C52" w:rsidRDefault="00D17C52" w:rsidP="00D17C52">
      <w:pPr>
        <w:spacing w:before="100" w:after="100"/>
      </w:pPr>
    </w:p>
    <w:p w:rsidR="00D17C52" w:rsidRDefault="00D17C52" w:rsidP="00D17C52">
      <w:pPr>
        <w:rPr>
          <w:b/>
          <w:u w:val="single"/>
        </w:rPr>
      </w:pPr>
      <w:proofErr w:type="spellStart"/>
      <w:r>
        <w:t>Magner</w:t>
      </w:r>
      <w:proofErr w:type="spellEnd"/>
      <w:r>
        <w:t xml:space="preserve">, James, “Assessing </w:t>
      </w:r>
      <w:proofErr w:type="gramStart"/>
      <w:r>
        <w:t>The</w:t>
      </w:r>
      <w:proofErr w:type="gramEnd"/>
      <w:r>
        <w:t xml:space="preserve"> Impact Of The Proposed COLI Best Practices Act,” National Underwriter, July 18, 2005.</w:t>
      </w:r>
      <w:r>
        <w:rPr>
          <w:b/>
          <w:u w:val="single"/>
        </w:rPr>
        <w:t xml:space="preserve"> </w:t>
      </w:r>
    </w:p>
    <w:p w:rsidR="00D17C52" w:rsidRDefault="00D17C52" w:rsidP="00D17C52">
      <w:pPr>
        <w:rPr>
          <w:b/>
          <w:u w:val="single"/>
        </w:rPr>
      </w:pPr>
    </w:p>
    <w:p w:rsidR="00D17C52" w:rsidRDefault="00D17C52" w:rsidP="00D17C52">
      <w:pPr>
        <w:rPr>
          <w:u w:val="single"/>
        </w:rPr>
      </w:pPr>
      <w:r>
        <w:rPr>
          <w:u w:val="single"/>
        </w:rPr>
        <w:t>http://www.insurancenewsnet.com/article.asp?a=top_lh&amp;lnid=296831481</w:t>
      </w:r>
    </w:p>
    <w:p w:rsidR="00D17C52" w:rsidRDefault="00D17C52" w:rsidP="00D17C52"/>
    <w:p w:rsidR="00D17C52" w:rsidRPr="00D17C52" w:rsidRDefault="00D17C52" w:rsidP="00D17C52">
      <w:r>
        <w:rPr>
          <w:rStyle w:val="Emphasis21"/>
        </w:rPr>
        <w:t>“</w:t>
      </w:r>
      <w:r>
        <w:t>Stranger-Owned Life Insurance ("SOLI"): Killing the Goose That</w:t>
      </w:r>
      <w:r>
        <w:rPr>
          <w:b/>
        </w:rPr>
        <w:t xml:space="preserve"> </w:t>
      </w:r>
      <w:r>
        <w:t xml:space="preserve">Lays Golden Eggs!” </w:t>
      </w:r>
      <w:hyperlink r:id="rId20" w:history="1">
        <w:r>
          <w:rPr>
            <w:rStyle w:val="Hyperlink"/>
          </w:rPr>
          <w:t>http://www.pgdc.com/usa/item/?itemID=261283</w:t>
        </w:r>
      </w:hyperlink>
    </w:p>
    <w:sectPr w:rsidR="00D17C52" w:rsidRPr="00D17C52" w:rsidSect="00C250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7A" w:rsidRDefault="00BA357A" w:rsidP="007C3ACB">
      <w:pPr>
        <w:spacing w:line="240" w:lineRule="auto"/>
      </w:pPr>
      <w:r>
        <w:separator/>
      </w:r>
    </w:p>
  </w:endnote>
  <w:endnote w:type="continuationSeparator" w:id="0">
    <w:p w:rsidR="00BA357A" w:rsidRDefault="00BA357A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7A" w:rsidRDefault="00BA357A" w:rsidP="007C3ACB">
      <w:pPr>
        <w:spacing w:line="240" w:lineRule="auto"/>
      </w:pPr>
      <w:r>
        <w:separator/>
      </w:r>
    </w:p>
  </w:footnote>
  <w:footnote w:type="continuationSeparator" w:id="0">
    <w:p w:rsidR="00BA357A" w:rsidRDefault="00BA357A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5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4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52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A6239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290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766C2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A357A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17C52"/>
    <w:rsid w:val="00D23B31"/>
    <w:rsid w:val="00D303A9"/>
    <w:rsid w:val="00D41BD0"/>
    <w:rsid w:val="00D77EB3"/>
    <w:rsid w:val="00D917C5"/>
    <w:rsid w:val="00D922CB"/>
    <w:rsid w:val="00DB67AA"/>
    <w:rsid w:val="00DC1099"/>
    <w:rsid w:val="00E05ACD"/>
    <w:rsid w:val="00E26777"/>
    <w:rsid w:val="00E434CB"/>
    <w:rsid w:val="00E4443C"/>
    <w:rsid w:val="00E50A98"/>
    <w:rsid w:val="00E52171"/>
    <w:rsid w:val="00E616C5"/>
    <w:rsid w:val="00E621AC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E4B60-21A3-4686-BBA1-618BEC6A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BodyText">
    <w:name w:val="Body Text"/>
    <w:basedOn w:val="Normal"/>
    <w:link w:val="BodyTextChar"/>
    <w:rsid w:val="00D17C52"/>
    <w:pPr>
      <w:autoSpaceDE w:val="0"/>
      <w:autoSpaceDN w:val="0"/>
      <w:adjustRightInd w:val="0"/>
      <w:spacing w:line="480" w:lineRule="auto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17C52"/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D17C52"/>
    <w:pPr>
      <w:spacing w:line="240" w:lineRule="auto"/>
    </w:pPr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D17C52"/>
    <w:rPr>
      <w:rFonts w:ascii="Times New Roman" w:hAnsi="Times New Roman" w:cs="Times New Roman"/>
      <w:sz w:val="20"/>
      <w:szCs w:val="20"/>
      <w:lang w:val="en-US" w:eastAsia="en-US"/>
    </w:rPr>
  </w:style>
  <w:style w:type="character" w:styleId="EndnoteReference">
    <w:name w:val="endnote reference"/>
    <w:semiHidden/>
    <w:rsid w:val="00D17C52"/>
    <w:rPr>
      <w:vertAlign w:val="superscript"/>
    </w:rPr>
  </w:style>
  <w:style w:type="character" w:customStyle="1" w:styleId="Emphasis21">
    <w:name w:val="Emphasis21"/>
    <w:rsid w:val="00D17C52"/>
    <w:rPr>
      <w:i w:val="0"/>
      <w:iCs w:val="0"/>
      <w:color w:val="8284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hipaa" TargetMode="External"/><Relationship Id="rId13" Type="http://schemas.openxmlformats.org/officeDocument/2006/relationships/hyperlink" Target="http://www.nolhga.com/" TargetMode="External"/><Relationship Id="rId18" Type="http://schemas.openxmlformats.org/officeDocument/2006/relationships/hyperlink" Target="http://www.FINRA.org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aic.org/library/reference/subjects/life_insurance_accelerated_benefits.htm" TargetMode="External"/><Relationship Id="rId17" Type="http://schemas.openxmlformats.org/officeDocument/2006/relationships/hyperlink" Target="http://www.FINRA.org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citeseer.ist.psu.edu/rd/48608465%2C287780%2C1%2C0.25%2CDownload/http%3AqSqqSqfic.wharton.upenn.eduqSqficqSqwficqSqpapersqSq98qSq9808.pdf" TargetMode="External"/><Relationship Id="rId20" Type="http://schemas.openxmlformats.org/officeDocument/2006/relationships/hyperlink" Target="http://www.pgdc.com/usa/item/?itemID=26128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.state.ny.us/rg03073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naic.or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priv.gc.ca/leg_c_p_e.asp" TargetMode="External"/><Relationship Id="rId19" Type="http://schemas.openxmlformats.org/officeDocument/2006/relationships/hyperlink" Target="http://www.acl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lhia.ca/index_en.htm" TargetMode="External"/><Relationship Id="rId14" Type="http://schemas.openxmlformats.org/officeDocument/2006/relationships/hyperlink" Target="http://www.brownbrown-assoc.com/article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E371-FEC3-4149-AE6C-B07FEF1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2079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2012-11-08T12:15:00Z</cp:lastPrinted>
  <dcterms:created xsi:type="dcterms:W3CDTF">2018-09-06T20:19:00Z</dcterms:created>
  <dcterms:modified xsi:type="dcterms:W3CDTF">2018-09-06T20:19:00Z</dcterms:modified>
</cp:coreProperties>
</file>