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32" w:rsidRPr="000C026A" w:rsidRDefault="00082C32" w:rsidP="00082C32">
      <w:pPr>
        <w:jc w:val="center"/>
        <w:rPr>
          <w:b/>
        </w:rPr>
      </w:pPr>
      <w:bookmarkStart w:id="0" w:name="_GoBack"/>
      <w:bookmarkEnd w:id="0"/>
      <w:r w:rsidRPr="000C026A">
        <w:rPr>
          <w:b/>
        </w:rPr>
        <w:t>Endnotes</w:t>
      </w:r>
    </w:p>
    <w:p w:rsidR="00C70C30" w:rsidRDefault="00C70C30" w:rsidP="00082C32">
      <w:pPr>
        <w:jc w:val="center"/>
      </w:pPr>
    </w:p>
    <w:p w:rsidR="00082C32" w:rsidRPr="000C026A" w:rsidRDefault="00082C32" w:rsidP="00082C32">
      <w:pPr>
        <w:jc w:val="both"/>
        <w:rPr>
          <w:sz w:val="20"/>
        </w:rPr>
      </w:pPr>
      <w:r w:rsidRPr="000C026A">
        <w:rPr>
          <w:sz w:val="20"/>
        </w:rPr>
        <w:t>US Treasury Regulations, section 20.2031-1b</w:t>
      </w:r>
    </w:p>
    <w:p w:rsidR="00082C32" w:rsidRPr="000C026A" w:rsidRDefault="00082C32" w:rsidP="00082C32">
      <w:pPr>
        <w:jc w:val="both"/>
        <w:rPr>
          <w:sz w:val="20"/>
        </w:rPr>
      </w:pPr>
    </w:p>
    <w:p w:rsidR="00082C32" w:rsidRPr="000C026A" w:rsidRDefault="00082C32" w:rsidP="00082C32">
      <w:pPr>
        <w:pStyle w:val="EndnoteText"/>
        <w:jc w:val="both"/>
      </w:pPr>
      <w:r w:rsidRPr="000C026A">
        <w:rPr>
          <w:rStyle w:val="EndnoteReference"/>
          <w:rFonts w:eastAsiaTheme="majorEastAsia"/>
        </w:rPr>
        <w:t>2</w:t>
      </w:r>
      <w:r w:rsidRPr="000C026A">
        <w:t xml:space="preserve"> Canada Customs and Revenue Agency, paragraph 70(5</w:t>
      </w:r>
      <w:proofErr w:type="gramStart"/>
      <w:r w:rsidRPr="000C026A">
        <w:t>)(</w:t>
      </w:r>
      <w:proofErr w:type="gramEnd"/>
      <w:r w:rsidRPr="000C026A">
        <w:t>a)</w:t>
      </w:r>
    </w:p>
    <w:p w:rsidR="00082C32" w:rsidRPr="000C026A" w:rsidRDefault="00082C32" w:rsidP="00082C32">
      <w:pPr>
        <w:pStyle w:val="EndnoteText"/>
        <w:jc w:val="both"/>
      </w:pPr>
    </w:p>
    <w:p w:rsidR="00082C32" w:rsidRPr="000C026A" w:rsidRDefault="00082C32" w:rsidP="00082C32">
      <w:pPr>
        <w:pStyle w:val="EndnoteText"/>
        <w:jc w:val="both"/>
        <w:rPr>
          <w:lang w:val="fr-FR"/>
        </w:rPr>
      </w:pPr>
      <w:r w:rsidRPr="000C026A">
        <w:rPr>
          <w:rStyle w:val="EndnoteReference"/>
          <w:rFonts w:eastAsiaTheme="majorEastAsia"/>
        </w:rPr>
        <w:t>3</w:t>
      </w:r>
      <w:r w:rsidRPr="000C026A">
        <w:rPr>
          <w:lang w:val="fr-FR"/>
        </w:rPr>
        <w:t xml:space="preserve"> Canadian </w:t>
      </w:r>
      <w:proofErr w:type="spellStart"/>
      <w:r w:rsidRPr="000C026A">
        <w:rPr>
          <w:lang w:val="fr-FR"/>
        </w:rPr>
        <w:t>tax</w:t>
      </w:r>
      <w:proofErr w:type="spellEnd"/>
      <w:r w:rsidRPr="000C026A">
        <w:rPr>
          <w:lang w:val="fr-FR"/>
        </w:rPr>
        <w:t xml:space="preserve"> code, </w:t>
      </w:r>
      <w:proofErr w:type="spellStart"/>
      <w:r w:rsidRPr="000C026A">
        <w:rPr>
          <w:lang w:val="fr-FR"/>
        </w:rPr>
        <w:t>subsection</w:t>
      </w:r>
      <w:proofErr w:type="spellEnd"/>
      <w:r w:rsidRPr="000C026A">
        <w:rPr>
          <w:lang w:val="fr-FR"/>
        </w:rPr>
        <w:t xml:space="preserve"> 118.1(3)</w:t>
      </w:r>
    </w:p>
    <w:p w:rsidR="00082C32" w:rsidRPr="000C026A" w:rsidRDefault="00082C32" w:rsidP="00082C32">
      <w:pPr>
        <w:pStyle w:val="EndnoteText"/>
        <w:jc w:val="both"/>
        <w:rPr>
          <w:lang w:val="fr-FR"/>
        </w:rPr>
      </w:pPr>
    </w:p>
    <w:p w:rsidR="00082C32" w:rsidRPr="000C026A" w:rsidRDefault="00082C32" w:rsidP="00082C32">
      <w:pPr>
        <w:pStyle w:val="EndnoteText"/>
        <w:jc w:val="both"/>
        <w:rPr>
          <w:lang w:val="fr-FR"/>
        </w:rPr>
      </w:pPr>
      <w:r w:rsidRPr="000C026A">
        <w:rPr>
          <w:rStyle w:val="EndnoteReference"/>
          <w:rFonts w:eastAsiaTheme="majorEastAsia"/>
        </w:rPr>
        <w:t>4</w:t>
      </w:r>
      <w:r w:rsidRPr="000C026A">
        <w:rPr>
          <w:lang w:val="fr-FR"/>
        </w:rPr>
        <w:t xml:space="preserve"> IRS Code Section 2001</w:t>
      </w:r>
    </w:p>
    <w:p w:rsidR="00082C32" w:rsidRPr="000C026A" w:rsidRDefault="00082C32" w:rsidP="00082C32">
      <w:pPr>
        <w:pStyle w:val="EndnoteText"/>
        <w:jc w:val="both"/>
        <w:rPr>
          <w:lang w:val="fr-FR"/>
        </w:rPr>
      </w:pPr>
    </w:p>
    <w:p w:rsidR="00082C32" w:rsidRPr="000C026A" w:rsidRDefault="00082C32" w:rsidP="00082C32">
      <w:pPr>
        <w:pStyle w:val="EndnoteText"/>
        <w:jc w:val="both"/>
      </w:pPr>
      <w:r w:rsidRPr="000C026A">
        <w:rPr>
          <w:rStyle w:val="EndnoteReference"/>
          <w:rFonts w:eastAsiaTheme="majorEastAsia"/>
        </w:rPr>
        <w:t>5</w:t>
      </w:r>
      <w:r w:rsidRPr="000C026A">
        <w:t xml:space="preserve"> U.S. Treasury Regulation 20.0-1</w:t>
      </w:r>
    </w:p>
    <w:p w:rsidR="00082C32" w:rsidRPr="000C026A" w:rsidRDefault="00082C32" w:rsidP="00082C32">
      <w:pPr>
        <w:pStyle w:val="EndnoteText"/>
        <w:jc w:val="both"/>
      </w:pPr>
    </w:p>
    <w:p w:rsidR="00082C32" w:rsidRPr="000C026A" w:rsidRDefault="00082C32" w:rsidP="00082C32">
      <w:pPr>
        <w:pStyle w:val="EndnoteText"/>
        <w:jc w:val="both"/>
        <w:rPr>
          <w:lang w:val="fr-FR"/>
        </w:rPr>
      </w:pPr>
      <w:r w:rsidRPr="000C026A">
        <w:rPr>
          <w:rStyle w:val="EndnoteReference"/>
          <w:rFonts w:eastAsiaTheme="majorEastAsia"/>
        </w:rPr>
        <w:t>6</w:t>
      </w:r>
      <w:r w:rsidRPr="000C026A">
        <w:rPr>
          <w:lang w:val="fr-FR"/>
        </w:rPr>
        <w:t xml:space="preserve"> IRS Code section 2103</w:t>
      </w:r>
    </w:p>
    <w:p w:rsidR="00082C32" w:rsidRPr="000C026A" w:rsidRDefault="00082C32" w:rsidP="00082C32">
      <w:pPr>
        <w:pStyle w:val="EndnoteText"/>
        <w:jc w:val="both"/>
        <w:rPr>
          <w:lang w:val="fr-FR"/>
        </w:rPr>
      </w:pPr>
    </w:p>
    <w:p w:rsidR="00082C32" w:rsidRPr="000C026A" w:rsidRDefault="00082C32" w:rsidP="00082C32">
      <w:pPr>
        <w:pStyle w:val="EndnoteText"/>
        <w:jc w:val="both"/>
      </w:pPr>
      <w:r w:rsidRPr="000C026A">
        <w:rPr>
          <w:rStyle w:val="EndnoteReference"/>
          <w:rFonts w:eastAsiaTheme="majorEastAsia"/>
        </w:rPr>
        <w:t>7</w:t>
      </w:r>
      <w:r w:rsidRPr="000C026A">
        <w:t xml:space="preserve"> Sec 691(c) of the Internal Revenue Code</w:t>
      </w:r>
    </w:p>
    <w:p w:rsidR="00082C32" w:rsidRPr="000C026A" w:rsidRDefault="00082C32" w:rsidP="00082C32">
      <w:pPr>
        <w:pStyle w:val="EndnoteText"/>
        <w:jc w:val="both"/>
      </w:pPr>
    </w:p>
    <w:p w:rsidR="00082C32" w:rsidRPr="000C026A" w:rsidRDefault="00082C32" w:rsidP="00082C32">
      <w:pPr>
        <w:pStyle w:val="EndnoteText"/>
        <w:jc w:val="both"/>
      </w:pPr>
      <w:r w:rsidRPr="000C026A">
        <w:rPr>
          <w:rStyle w:val="EndnoteReference"/>
          <w:rFonts w:eastAsiaTheme="majorEastAsia"/>
        </w:rPr>
        <w:t>8</w:t>
      </w:r>
      <w:r w:rsidRPr="000C026A">
        <w:t xml:space="preserve"> Canadian tax code, subsection 104(4)</w:t>
      </w:r>
    </w:p>
    <w:p w:rsidR="00082C32" w:rsidRPr="000C026A" w:rsidRDefault="00082C32" w:rsidP="00082C32">
      <w:pPr>
        <w:pStyle w:val="EndnoteText"/>
        <w:jc w:val="both"/>
      </w:pPr>
    </w:p>
    <w:p w:rsidR="00082C32" w:rsidRPr="000C026A" w:rsidRDefault="00082C32" w:rsidP="00082C32">
      <w:pPr>
        <w:jc w:val="both"/>
        <w:rPr>
          <w:sz w:val="20"/>
        </w:rPr>
      </w:pPr>
      <w:r w:rsidRPr="000C026A">
        <w:rPr>
          <w:rStyle w:val="EndnoteReference"/>
          <w:rFonts w:eastAsiaTheme="majorEastAsia"/>
        </w:rPr>
        <w:t>9</w:t>
      </w:r>
      <w:r w:rsidRPr="000C026A">
        <w:rPr>
          <w:sz w:val="20"/>
        </w:rPr>
        <w:t xml:space="preserve"> Canadian tax code subsection 104(4)</w:t>
      </w:r>
    </w:p>
    <w:p w:rsidR="00082C32" w:rsidRPr="000C026A" w:rsidRDefault="00082C32" w:rsidP="00082C32">
      <w:pPr>
        <w:jc w:val="both"/>
        <w:rPr>
          <w:sz w:val="20"/>
        </w:rPr>
      </w:pPr>
    </w:p>
    <w:p w:rsidR="00082C32" w:rsidRPr="000C026A" w:rsidRDefault="00082C32" w:rsidP="00082C32">
      <w:pPr>
        <w:jc w:val="both"/>
        <w:rPr>
          <w:sz w:val="20"/>
          <w:szCs w:val="20"/>
        </w:rPr>
      </w:pPr>
      <w:r w:rsidRPr="000C026A">
        <w:rPr>
          <w:sz w:val="16"/>
          <w:szCs w:val="16"/>
        </w:rPr>
        <w:t xml:space="preserve">10 </w:t>
      </w:r>
      <w:r w:rsidRPr="000C026A">
        <w:rPr>
          <w:sz w:val="20"/>
          <w:szCs w:val="20"/>
        </w:rPr>
        <w:t>US Census Bureau “The Elderly Population”</w:t>
      </w:r>
    </w:p>
    <w:p w:rsidR="00082C32" w:rsidRPr="00082C32" w:rsidRDefault="003F7632" w:rsidP="00082C32">
      <w:pPr>
        <w:jc w:val="both"/>
        <w:rPr>
          <w:sz w:val="20"/>
          <w:szCs w:val="20"/>
        </w:rPr>
      </w:pPr>
      <w:hyperlink r:id="rId8" w:history="1">
        <w:r w:rsidR="00082C32" w:rsidRPr="00082C32">
          <w:rPr>
            <w:rStyle w:val="Hyperlink"/>
            <w:rFonts w:eastAsiaTheme="majorEastAsia"/>
            <w:sz w:val="20"/>
            <w:szCs w:val="20"/>
          </w:rPr>
          <w:t>http://www.census.gov/population/www/pop-profile/elderpop.html accessed 1/15/2009</w:t>
        </w:r>
      </w:hyperlink>
    </w:p>
    <w:p w:rsidR="00082C32" w:rsidRDefault="00082C32" w:rsidP="00082C32"/>
    <w:p w:rsidR="00B8629A" w:rsidRDefault="00B8629A" w:rsidP="00082C32"/>
    <w:p w:rsidR="00B8629A" w:rsidRDefault="00B8629A" w:rsidP="00B8629A">
      <w:pPr>
        <w:jc w:val="center"/>
        <w:rPr>
          <w:b/>
        </w:rPr>
      </w:pPr>
      <w:r>
        <w:rPr>
          <w:b/>
        </w:rPr>
        <w:t>Selected Bibliography</w:t>
      </w:r>
    </w:p>
    <w:p w:rsidR="00B8629A" w:rsidRDefault="00B8629A" w:rsidP="00B8629A"/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British Columbia Captive Insurance Association.  “Captive Insurance Opportunities Tax Issues” http://www.bccia.com/ci-opptx.html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Cuperfain</w:t>
      </w:r>
      <w:proofErr w:type="spellEnd"/>
      <w:r w:rsidRPr="00B8629A">
        <w:rPr>
          <w:sz w:val="20"/>
          <w:szCs w:val="20"/>
        </w:rPr>
        <w:t>, Joel. Marino, Florence.  Canadian Taxation of Life Insurance.  Toronto, Canada; Carswell, 2002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Flatley</w:t>
      </w:r>
      <w:proofErr w:type="spellEnd"/>
      <w:r w:rsidRPr="00B8629A">
        <w:rPr>
          <w:sz w:val="20"/>
          <w:szCs w:val="20"/>
        </w:rPr>
        <w:t>, Kevin M.  “Gifts With a Family Business” http://www.umass.edu/fambiz/giftswithfamilybusiness.html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Fontaine, Constance.  Fundamentals of Estate Planning.  Bryn </w:t>
      </w:r>
      <w:proofErr w:type="spellStart"/>
      <w:r w:rsidRPr="00B8629A">
        <w:rPr>
          <w:sz w:val="20"/>
          <w:szCs w:val="20"/>
        </w:rPr>
        <w:t>Mawr</w:t>
      </w:r>
      <w:proofErr w:type="spellEnd"/>
      <w:r w:rsidRPr="00B8629A">
        <w:rPr>
          <w:sz w:val="20"/>
          <w:szCs w:val="20"/>
        </w:rPr>
        <w:t xml:space="preserve">, Pennsylvania; </w:t>
      </w:r>
      <w:proofErr w:type="gramStart"/>
      <w:r w:rsidRPr="00B8629A">
        <w:rPr>
          <w:sz w:val="20"/>
          <w:szCs w:val="20"/>
        </w:rPr>
        <w:t>The  American</w:t>
      </w:r>
      <w:proofErr w:type="gramEnd"/>
      <w:r w:rsidRPr="00B8629A">
        <w:rPr>
          <w:sz w:val="20"/>
          <w:szCs w:val="20"/>
        </w:rPr>
        <w:t xml:space="preserve"> College, 2002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Goetting</w:t>
      </w:r>
      <w:proofErr w:type="spellEnd"/>
      <w:r w:rsidRPr="00B8629A">
        <w:rPr>
          <w:sz w:val="20"/>
          <w:szCs w:val="20"/>
        </w:rPr>
        <w:t xml:space="preserve">, Marsha and Schumacher, Joel.  “The Federal Estate Tax” from Montana State University, Montana State University Extension Service, Bozeman, MT, July 2006 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Greisser</w:t>
      </w:r>
      <w:proofErr w:type="spellEnd"/>
      <w:r w:rsidRPr="00B8629A">
        <w:rPr>
          <w:sz w:val="20"/>
          <w:szCs w:val="20"/>
        </w:rPr>
        <w:t xml:space="preserve">, James and </w:t>
      </w:r>
      <w:proofErr w:type="spellStart"/>
      <w:r w:rsidRPr="00B8629A">
        <w:rPr>
          <w:sz w:val="20"/>
          <w:szCs w:val="20"/>
        </w:rPr>
        <w:t>Suckstorf</w:t>
      </w:r>
      <w:proofErr w:type="spellEnd"/>
      <w:r w:rsidRPr="00B8629A">
        <w:rPr>
          <w:sz w:val="20"/>
          <w:szCs w:val="20"/>
        </w:rPr>
        <w:t xml:space="preserve">, Dennis.  “There’s </w:t>
      </w:r>
      <w:proofErr w:type="gramStart"/>
      <w:r w:rsidRPr="00B8629A">
        <w:rPr>
          <w:sz w:val="20"/>
          <w:szCs w:val="20"/>
        </w:rPr>
        <w:t>More</w:t>
      </w:r>
      <w:proofErr w:type="gramEnd"/>
      <w:r w:rsidRPr="00B8629A">
        <w:rPr>
          <w:sz w:val="20"/>
          <w:szCs w:val="20"/>
        </w:rPr>
        <w:t xml:space="preserve"> to Learn About Dynasty Trusts”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 http://www.bizmonthly.com/102000/page11.html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Hobbs, Frank.  “The Elderly Population” from the US Census Bureau at http://www.census.gov/population/www/pop-profile/profile.html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Internal Revenue Service.  “Estate Tax”,</w:t>
      </w:r>
    </w:p>
    <w:p w:rsidR="00B8629A" w:rsidRPr="00B8629A" w:rsidRDefault="00B8629A" w:rsidP="00B8629A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B8629A">
        <w:rPr>
          <w:rFonts w:ascii="Times New Roman" w:hAnsi="Times New Roman" w:cs="Times New Roman"/>
          <w:sz w:val="20"/>
          <w:szCs w:val="20"/>
        </w:rPr>
        <w:t xml:space="preserve"> http://www.irs.gov/businesses/small/article/0,,id=164871,00.html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  <w:lang w:val="fr-FR"/>
        </w:rPr>
      </w:pPr>
      <w:r w:rsidRPr="00B8629A">
        <w:rPr>
          <w:sz w:val="20"/>
          <w:szCs w:val="20"/>
        </w:rPr>
        <w:t xml:space="preserve">Internal Revenue Service.  </w:t>
      </w:r>
      <w:r w:rsidRPr="00B8629A">
        <w:rPr>
          <w:sz w:val="20"/>
          <w:szCs w:val="20"/>
          <w:lang w:val="fr-FR"/>
        </w:rPr>
        <w:t>“</w:t>
      </w:r>
      <w:proofErr w:type="spellStart"/>
      <w:r w:rsidRPr="00B8629A">
        <w:rPr>
          <w:sz w:val="20"/>
          <w:szCs w:val="20"/>
          <w:lang w:val="fr-FR"/>
        </w:rPr>
        <w:t>Estate</w:t>
      </w:r>
      <w:proofErr w:type="spellEnd"/>
      <w:r w:rsidRPr="00B8629A">
        <w:rPr>
          <w:sz w:val="20"/>
          <w:szCs w:val="20"/>
          <w:lang w:val="fr-FR"/>
        </w:rPr>
        <w:t xml:space="preserve"> </w:t>
      </w:r>
      <w:proofErr w:type="spellStart"/>
      <w:r w:rsidRPr="00B8629A">
        <w:rPr>
          <w:sz w:val="20"/>
          <w:szCs w:val="20"/>
          <w:lang w:val="fr-FR"/>
        </w:rPr>
        <w:t>Tax</w:t>
      </w:r>
      <w:proofErr w:type="spellEnd"/>
      <w:r w:rsidRPr="00B8629A">
        <w:rPr>
          <w:sz w:val="20"/>
          <w:szCs w:val="20"/>
          <w:lang w:val="fr-FR"/>
        </w:rPr>
        <w:t xml:space="preserve"> Questions”   </w:t>
      </w:r>
      <w:hyperlink r:id="rId9" w:history="1">
        <w:r w:rsidRPr="00B8629A">
          <w:rPr>
            <w:rStyle w:val="Hyperlink"/>
            <w:rFonts w:eastAsiaTheme="majorEastAsia"/>
            <w:sz w:val="20"/>
            <w:szCs w:val="20"/>
            <w:lang w:val="fr-FR"/>
          </w:rPr>
          <w:t>http://www.irs.gov/businesses/small/industries/article/O.,id=98983.00.html</w:t>
        </w:r>
      </w:hyperlink>
    </w:p>
    <w:p w:rsidR="00B8629A" w:rsidRPr="00B8629A" w:rsidRDefault="00B8629A" w:rsidP="00B8629A">
      <w:pPr>
        <w:rPr>
          <w:sz w:val="20"/>
          <w:szCs w:val="20"/>
          <w:lang w:val="fr-FR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Internal Revenue Service. “FAQs </w:t>
      </w:r>
      <w:proofErr w:type="gramStart"/>
      <w:r w:rsidRPr="00B8629A">
        <w:rPr>
          <w:sz w:val="20"/>
          <w:szCs w:val="20"/>
        </w:rPr>
        <w:t>About</w:t>
      </w:r>
      <w:proofErr w:type="gramEnd"/>
      <w:r w:rsidRPr="00B8629A">
        <w:rPr>
          <w:sz w:val="20"/>
          <w:szCs w:val="20"/>
        </w:rPr>
        <w:t xml:space="preserve"> the New Tax Rules for Executors for 2010”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http://www.irs.gov/businesses/small/article/0,,id=224519,00.html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Internal Revenue Service. “Frequently Asked Questions on Estate Taxes”</w:t>
      </w:r>
    </w:p>
    <w:p w:rsidR="00B8629A" w:rsidRPr="00B8629A" w:rsidRDefault="003F7632" w:rsidP="00B8629A">
      <w:pPr>
        <w:rPr>
          <w:sz w:val="20"/>
          <w:szCs w:val="20"/>
        </w:rPr>
      </w:pPr>
      <w:hyperlink r:id="rId10" w:anchor="2" w:history="1">
        <w:r w:rsidR="00B8629A" w:rsidRPr="00B8629A">
          <w:rPr>
            <w:rStyle w:val="Hyperlink"/>
            <w:rFonts w:eastAsiaTheme="majorEastAsia"/>
            <w:sz w:val="20"/>
            <w:szCs w:val="20"/>
          </w:rPr>
          <w:t>http://www.irs.gov/businesses/small/article/0,,id=108143,00.html#2</w:t>
        </w:r>
      </w:hyperlink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lastRenderedPageBreak/>
        <w:t>Kantz</w:t>
      </w:r>
      <w:proofErr w:type="spellEnd"/>
      <w:r w:rsidRPr="00B8629A">
        <w:rPr>
          <w:sz w:val="20"/>
          <w:szCs w:val="20"/>
        </w:rPr>
        <w:t>, Robert.  "Family Limited Partnerships: Sharing the Wealth While Maintaining Control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http://www.heiserlaw.com/02Family%201Limited%20Partenerships.htm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KPMG Canada.  “Foreign Investment Entities and Non-resident Trusts – New Tax Regime Set to Take Effect for 2003” Canadian Tax Letter. Toronto, Canada; KPMG, November 2002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Kurlowicz</w:t>
      </w:r>
      <w:proofErr w:type="spellEnd"/>
      <w:r w:rsidRPr="00B8629A">
        <w:rPr>
          <w:sz w:val="20"/>
          <w:szCs w:val="20"/>
        </w:rPr>
        <w:t>, Ted.  “Life Insurance and Estate – Planning in the Post-EGTRRA Environment” 2001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http://www.amercoll.edu/coursepages/drimalprofpages/lifeegtrra.asp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Lange, James.  “Family Limited Partnerships” http://www.outestateplanning.com/familylimitedpartnership.htm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Law Offices of K. Gabriel </w:t>
      </w:r>
      <w:proofErr w:type="spellStart"/>
      <w:r w:rsidRPr="00B8629A">
        <w:rPr>
          <w:sz w:val="20"/>
          <w:szCs w:val="20"/>
        </w:rPr>
        <w:t>Heiser</w:t>
      </w:r>
      <w:proofErr w:type="spellEnd"/>
      <w:r w:rsidRPr="00B8629A">
        <w:rPr>
          <w:sz w:val="20"/>
          <w:szCs w:val="20"/>
        </w:rPr>
        <w:t>. 2002.  http://www.heiserlaw.com/02Family%20Limited%20Partnerships.htm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Maxwell, Caroline.  “Outward Investment from Canada – The Offshore Perspective” 2001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http://www.lowtax.net/lowtax/html/offon/canada/canoutward.html 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Mintz</w:t>
      </w:r>
      <w:proofErr w:type="spellEnd"/>
      <w:r w:rsidRPr="00B8629A">
        <w:rPr>
          <w:sz w:val="20"/>
          <w:szCs w:val="20"/>
        </w:rPr>
        <w:t>, Robert J. Asset Protection for Physicians and High-Risk Business Owners.  Oceanside, California; Francis O’Brien and Sons Publishing Company, Inc., 2002 http://www.rjmintz.com/appch5.html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National Conference of Commissioners on Uniform State Laws.  “Uniform Limited Partnership Act of 2001”</w:t>
      </w:r>
    </w:p>
    <w:p w:rsidR="00B8629A" w:rsidRPr="00B8629A" w:rsidRDefault="003F7632" w:rsidP="00B8629A">
      <w:pPr>
        <w:rPr>
          <w:sz w:val="20"/>
          <w:szCs w:val="20"/>
        </w:rPr>
      </w:pPr>
      <w:hyperlink r:id="rId11" w:history="1">
        <w:r w:rsidR="00B8629A" w:rsidRPr="00B8629A">
          <w:rPr>
            <w:rStyle w:val="Hyperlink"/>
            <w:rFonts w:eastAsiaTheme="majorEastAsia"/>
            <w:sz w:val="20"/>
            <w:szCs w:val="20"/>
          </w:rPr>
          <w:t>http://www.law.upenn.edu/bll/ulc/ulpa/final2001.htm</w:t>
        </w:r>
      </w:hyperlink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Noto, </w:t>
      </w:r>
      <w:proofErr w:type="spellStart"/>
      <w:r w:rsidRPr="00B8629A">
        <w:rPr>
          <w:sz w:val="20"/>
          <w:szCs w:val="20"/>
        </w:rPr>
        <w:t>Nonna</w:t>
      </w:r>
      <w:proofErr w:type="spellEnd"/>
      <w:r w:rsidRPr="00B8629A">
        <w:rPr>
          <w:sz w:val="20"/>
          <w:szCs w:val="20"/>
        </w:rPr>
        <w:t>.  “Calculating Estate Tax Liability: 2001 to 2011 and Beyond”.  Congressional Research Service at the Library of Congress 11/3/2006</w:t>
      </w:r>
    </w:p>
    <w:p w:rsidR="00B8629A" w:rsidRPr="00B8629A" w:rsidRDefault="003F7632" w:rsidP="00B8629A">
      <w:pPr>
        <w:rPr>
          <w:sz w:val="20"/>
          <w:szCs w:val="20"/>
        </w:rPr>
      </w:pPr>
      <w:hyperlink r:id="rId12" w:history="1">
        <w:r w:rsidR="00B8629A" w:rsidRPr="00B8629A">
          <w:rPr>
            <w:rStyle w:val="Hyperlink"/>
            <w:rFonts w:eastAsiaTheme="majorEastAsia"/>
            <w:sz w:val="20"/>
            <w:szCs w:val="20"/>
          </w:rPr>
          <w:t>http://www.nationalaglawcenter.org/assets/crs/RL33718.pdf</w:t>
        </w:r>
      </w:hyperlink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Rohaly</w:t>
      </w:r>
      <w:proofErr w:type="spellEnd"/>
      <w:r w:rsidRPr="00B8629A">
        <w:rPr>
          <w:sz w:val="20"/>
          <w:szCs w:val="20"/>
        </w:rPr>
        <w:t>, Jeffrey and Lim, Kathryn.  “Wealth Transfer Taxes- How Many People Pay the Estate Tax?”  The Tax Policy Center/ Urban Institute and Brookings Institution, 10/15/09</w:t>
      </w:r>
    </w:p>
    <w:p w:rsidR="00B8629A" w:rsidRPr="00B8629A" w:rsidRDefault="003F7632" w:rsidP="00B8629A">
      <w:pPr>
        <w:rPr>
          <w:sz w:val="20"/>
          <w:szCs w:val="20"/>
        </w:rPr>
      </w:pPr>
      <w:hyperlink r:id="rId13" w:history="1">
        <w:r w:rsidR="00B8629A" w:rsidRPr="00B8629A">
          <w:rPr>
            <w:rStyle w:val="Hyperlink"/>
            <w:rFonts w:eastAsiaTheme="majorEastAsia"/>
            <w:sz w:val="20"/>
            <w:szCs w:val="20"/>
          </w:rPr>
          <w:t>http://www.taxpolicycenter.org/briefing-book/key-elements/estate/how-many.cfm</w:t>
        </w:r>
      </w:hyperlink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Sehadi</w:t>
      </w:r>
      <w:proofErr w:type="spellEnd"/>
      <w:r w:rsidRPr="00B8629A">
        <w:rPr>
          <w:sz w:val="20"/>
          <w:szCs w:val="20"/>
        </w:rPr>
        <w:t>, Jeanne.  “Tax Cut Deal: How It Affects You” CNN Money.com, 12/17/2010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http://money.cnn.com/2010/12/15/news/economy/tax_deal_what_is_in_bill/index.htm?hpt=T1</w:t>
      </w:r>
    </w:p>
    <w:p w:rsidR="00B8629A" w:rsidRPr="00B8629A" w:rsidRDefault="00B8629A" w:rsidP="00B8629A">
      <w:pPr>
        <w:pStyle w:val="EndnoteText"/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St.-Onge, Francine.  “Havens Help Us” Certified General Accountants Magazine.  February 2000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Thaler</w:t>
      </w:r>
      <w:proofErr w:type="spellEnd"/>
      <w:r w:rsidRPr="00B8629A">
        <w:rPr>
          <w:sz w:val="20"/>
          <w:szCs w:val="20"/>
        </w:rPr>
        <w:t>, Richard.  “Estate Tax Issue Offers Quick Test for Congress”.  NY Times, 11/6/10</w:t>
      </w:r>
    </w:p>
    <w:p w:rsidR="00B8629A" w:rsidRPr="00B8629A" w:rsidRDefault="003F7632" w:rsidP="00B8629A">
      <w:pPr>
        <w:rPr>
          <w:sz w:val="20"/>
          <w:szCs w:val="20"/>
        </w:rPr>
      </w:pPr>
      <w:hyperlink r:id="rId14" w:history="1">
        <w:r w:rsidR="00B8629A" w:rsidRPr="00B8629A">
          <w:rPr>
            <w:rStyle w:val="Hyperlink"/>
            <w:rFonts w:eastAsiaTheme="majorEastAsia"/>
            <w:sz w:val="20"/>
            <w:szCs w:val="20"/>
          </w:rPr>
          <w:t>http://www.nytimes.com/2010/11/07/business/economy/07view.html?_r=2</w:t>
        </w:r>
      </w:hyperlink>
    </w:p>
    <w:p w:rsidR="00B8629A" w:rsidRPr="00B8629A" w:rsidRDefault="00B8629A" w:rsidP="00B8629A">
      <w:pPr>
        <w:rPr>
          <w:color w:val="660033"/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 xml:space="preserve">The </w:t>
      </w:r>
      <w:proofErr w:type="spellStart"/>
      <w:r w:rsidRPr="00B8629A">
        <w:rPr>
          <w:sz w:val="20"/>
          <w:szCs w:val="20"/>
        </w:rPr>
        <w:t>Adkisson</w:t>
      </w:r>
      <w:proofErr w:type="spellEnd"/>
      <w:r w:rsidRPr="00B8629A">
        <w:rPr>
          <w:sz w:val="20"/>
          <w:szCs w:val="20"/>
        </w:rPr>
        <w:t xml:space="preserve"> Analysis.  “Limited Partnerships and Family Limited Partnerships”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http://www.falc.com/flp/flp.html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The Internal Revenue Service.  “Gift Tax Questions”</w:t>
      </w: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http://www.irs.gov/businesses/small/industries/article/O</w:t>
      </w:r>
      <w:proofErr w:type="gramStart"/>
      <w:r w:rsidRPr="00B8629A">
        <w:rPr>
          <w:sz w:val="20"/>
          <w:szCs w:val="20"/>
        </w:rPr>
        <w:t>..id=</w:t>
      </w:r>
      <w:proofErr w:type="gramEnd"/>
      <w:r w:rsidRPr="00B8629A">
        <w:rPr>
          <w:sz w:val="20"/>
          <w:szCs w:val="20"/>
        </w:rPr>
        <w:t>98989.00.html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The Internal Revenue Service.  “2002 Changes</w:t>
      </w:r>
      <w:proofErr w:type="gramStart"/>
      <w:r w:rsidRPr="00B8629A">
        <w:rPr>
          <w:sz w:val="20"/>
          <w:szCs w:val="20"/>
        </w:rPr>
        <w:t>”  http</w:t>
      </w:r>
      <w:proofErr w:type="gramEnd"/>
      <w:r w:rsidRPr="00B8629A">
        <w:rPr>
          <w:sz w:val="20"/>
          <w:szCs w:val="20"/>
        </w:rPr>
        <w:t>://www.irs.gov/formspubs/page/O..</w:t>
      </w:r>
      <w:proofErr w:type="gramStart"/>
      <w:r w:rsidRPr="00B8629A">
        <w:rPr>
          <w:sz w:val="20"/>
          <w:szCs w:val="20"/>
        </w:rPr>
        <w:t>id%</w:t>
      </w:r>
      <w:proofErr w:type="gramEnd"/>
      <w:r w:rsidRPr="00B8629A">
        <w:rPr>
          <w:sz w:val="20"/>
          <w:szCs w:val="20"/>
        </w:rPr>
        <w:t>3D79375.00.html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The CPA Journal.  “Estates and Trusts – Insurance and the Three-Year Rule” April 1999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US Trust Corp.  "Advanced Estate Planning Techniques"                   http://www.ustrust.com/ustrust/html/individual/TrustsandEstates/advancedsetateplanning.html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proofErr w:type="spellStart"/>
      <w:r w:rsidRPr="00B8629A">
        <w:rPr>
          <w:sz w:val="20"/>
          <w:szCs w:val="20"/>
        </w:rPr>
        <w:t>Wark</w:t>
      </w:r>
      <w:proofErr w:type="spellEnd"/>
      <w:r w:rsidRPr="00B8629A">
        <w:rPr>
          <w:sz w:val="20"/>
          <w:szCs w:val="20"/>
        </w:rPr>
        <w:t>, Keven.  Everything You Need to Know About Estate Planning.  Toronto, Canada; Key Porter Books, 2001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rPr>
          <w:sz w:val="20"/>
          <w:szCs w:val="20"/>
        </w:rPr>
      </w:pPr>
      <w:r w:rsidRPr="00B8629A">
        <w:rPr>
          <w:sz w:val="20"/>
          <w:szCs w:val="20"/>
        </w:rPr>
        <w:t>Weisman, Jonathan.  “Obama Plans to Keep Estate Tax” from the Wall Street Journal, 1/12/2009</w:t>
      </w:r>
    </w:p>
    <w:p w:rsidR="00B8629A" w:rsidRPr="00B8629A" w:rsidRDefault="00B8629A" w:rsidP="00B8629A">
      <w:pPr>
        <w:rPr>
          <w:sz w:val="20"/>
          <w:szCs w:val="20"/>
        </w:rPr>
      </w:pPr>
    </w:p>
    <w:p w:rsidR="00B8629A" w:rsidRPr="00B8629A" w:rsidRDefault="00B8629A" w:rsidP="00B8629A">
      <w:pPr>
        <w:pStyle w:val="EndnoteText"/>
        <w:rPr>
          <w:lang w:val="fr-FR"/>
        </w:rPr>
      </w:pPr>
    </w:p>
    <w:p w:rsidR="00B8629A" w:rsidRPr="00C70C30" w:rsidRDefault="00B8629A" w:rsidP="00B8629A">
      <w:pPr>
        <w:jc w:val="center"/>
      </w:pPr>
    </w:p>
    <w:sectPr w:rsidR="00B8629A" w:rsidRPr="00C70C30" w:rsidSect="00C250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32" w:rsidRDefault="003F7632" w:rsidP="007C3ACB">
      <w:r>
        <w:separator/>
      </w:r>
    </w:p>
  </w:endnote>
  <w:endnote w:type="continuationSeparator" w:id="0">
    <w:p w:rsidR="003F7632" w:rsidRDefault="003F7632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32" w:rsidRDefault="003F7632" w:rsidP="007C3ACB">
      <w:r>
        <w:separator/>
      </w:r>
    </w:p>
  </w:footnote>
  <w:footnote w:type="continuationSeparator" w:id="0">
    <w:p w:rsidR="003F7632" w:rsidRDefault="003F7632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2"/>
    <w:rsid w:val="00001F1C"/>
    <w:rsid w:val="00015CA9"/>
    <w:rsid w:val="00022565"/>
    <w:rsid w:val="00026190"/>
    <w:rsid w:val="0003173F"/>
    <w:rsid w:val="00060E0E"/>
    <w:rsid w:val="00081D26"/>
    <w:rsid w:val="00082C32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2F7B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3F7632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C4CD0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8629A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8E840-D0E1-48C2-9DA6-0A4CF8A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3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082C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2C32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08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opulation/www/pop-profile/elderpop.html%20accessed%201/15/2009" TargetMode="External"/><Relationship Id="rId13" Type="http://schemas.openxmlformats.org/officeDocument/2006/relationships/hyperlink" Target="http://www.taxpolicycenter.org/briefing-book/key-elements/estate/how-many.cf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tionalaglawcenter.org/assets/crs/RL3371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upenn.edu/bll/ulc/ulpa/final2001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rs.gov/businesses/small/article/0,,id=108143,00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rs.gov/businesses/small/industries/article/O.,id=98983.00.html" TargetMode="External"/><Relationship Id="rId14" Type="http://schemas.openxmlformats.org/officeDocument/2006/relationships/hyperlink" Target="http://www.nytimes.com/2010/11/07/business/economy/07view.html?_r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88C4-9038-4F6D-9CD3-C0B2677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4852</Characters>
  <Application>Microsoft Office Word</Application>
  <DocSecurity>0</DocSecurity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2018-09-06T20:08:00Z</dcterms:created>
  <dcterms:modified xsi:type="dcterms:W3CDTF">2018-09-06T20:08:00Z</dcterms:modified>
</cp:coreProperties>
</file>