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C34EE5" w:rsidRDefault="00321C9E" w:rsidP="00321C9E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C34EE5">
        <w:rPr>
          <w:b/>
          <w:u w:val="single"/>
          <w:lang w:val="en-US"/>
        </w:rPr>
        <w:t xml:space="preserve">ALU 202, Chapter 7 </w:t>
      </w:r>
    </w:p>
    <w:p w:rsidR="00321C9E" w:rsidRDefault="00321C9E" w:rsidP="00321C9E">
      <w:pPr>
        <w:jc w:val="center"/>
        <w:rPr>
          <w:sz w:val="24"/>
          <w:szCs w:val="24"/>
          <w:lang w:val="en-US"/>
        </w:rPr>
      </w:pPr>
    </w:p>
    <w:p w:rsidR="00321C9E" w:rsidRPr="00AE207F" w:rsidRDefault="00C34EE5" w:rsidP="00321C9E">
      <w:pPr>
        <w:jc w:val="center"/>
        <w:rPr>
          <w:b/>
          <w:color w:val="000000"/>
        </w:rPr>
      </w:pPr>
      <w:r>
        <w:rPr>
          <w:b/>
          <w:color w:val="000000"/>
        </w:rPr>
        <w:t>Endn</w:t>
      </w:r>
      <w:r w:rsidR="00321C9E" w:rsidRPr="00AE207F">
        <w:rPr>
          <w:b/>
          <w:color w:val="000000"/>
        </w:rPr>
        <w:t>otes</w:t>
      </w:r>
    </w:p>
    <w:p w:rsidR="00321C9E" w:rsidRPr="00AE207F" w:rsidRDefault="00321C9E" w:rsidP="00321C9E">
      <w:pPr>
        <w:rPr>
          <w:color w:val="000000"/>
        </w:rPr>
      </w:pPr>
    </w:p>
    <w:p w:rsidR="00321C9E" w:rsidRDefault="00321C9E" w:rsidP="00321C9E">
      <w:pPr>
        <w:rPr>
          <w:color w:val="000000"/>
        </w:rPr>
      </w:pPr>
      <w:r w:rsidRPr="00AE207F">
        <w:rPr>
          <w:color w:val="000000"/>
          <w:vertAlign w:val="superscript"/>
        </w:rPr>
        <w:t>1</w:t>
      </w:r>
      <w:r w:rsidRPr="00AE207F">
        <w:rPr>
          <w:color w:val="000000"/>
        </w:rPr>
        <w:t xml:space="preserve"> Executive Benefit Strategies, </w:t>
      </w:r>
      <w:r>
        <w:rPr>
          <w:color w:val="000000"/>
        </w:rPr>
        <w:t>&lt;</w:t>
      </w:r>
      <w:hyperlink r:id="rId8" w:history="1">
        <w:r w:rsidRPr="00AE207F">
          <w:rPr>
            <w:rStyle w:val="Hyperlink"/>
            <w:color w:val="000000"/>
          </w:rPr>
          <w:t>http://www.executivebenefitstartegies.com/boli.htm</w:t>
        </w:r>
      </w:hyperlink>
      <w:r>
        <w:rPr>
          <w:color w:val="000000"/>
        </w:rPr>
        <w:t>&gt;.</w:t>
      </w:r>
    </w:p>
    <w:p w:rsidR="00321C9E" w:rsidRPr="00AE207F" w:rsidRDefault="00321C9E" w:rsidP="00321C9E">
      <w:pPr>
        <w:rPr>
          <w:color w:val="000000"/>
        </w:rPr>
      </w:pPr>
      <w:r w:rsidRPr="0022323C">
        <w:rPr>
          <w:color w:val="000000"/>
          <w:vertAlign w:val="superscript"/>
        </w:rPr>
        <w:t>2</w:t>
      </w:r>
      <w:r>
        <w:rPr>
          <w:color w:val="000000"/>
        </w:rPr>
        <w:t xml:space="preserve"> www.willistowerswatson.com</w:t>
      </w:r>
    </w:p>
    <w:p w:rsidR="00321C9E" w:rsidRPr="00AE207F" w:rsidRDefault="00321C9E" w:rsidP="00321C9E">
      <w:pPr>
        <w:rPr>
          <w:i/>
          <w:color w:val="000000"/>
        </w:rPr>
      </w:pPr>
      <w:r>
        <w:rPr>
          <w:color w:val="000000"/>
          <w:vertAlign w:val="superscript"/>
        </w:rPr>
        <w:t>3</w:t>
      </w:r>
      <w:r w:rsidRPr="00AE207F">
        <w:rPr>
          <w:color w:val="000000"/>
          <w:vertAlign w:val="superscript"/>
        </w:rPr>
        <w:t xml:space="preserve"> </w:t>
      </w:r>
      <w:r w:rsidRPr="00AE207F">
        <w:rPr>
          <w:color w:val="000000"/>
        </w:rPr>
        <w:t>www.newportgroup.com</w:t>
      </w:r>
      <w:r>
        <w:rPr>
          <w:color w:val="000000"/>
        </w:rPr>
        <w:t>/knowledge-center/march-2017</w:t>
      </w:r>
    </w:p>
    <w:p w:rsidR="00321C9E" w:rsidRDefault="00321C9E" w:rsidP="00321C9E">
      <w:pPr>
        <w:rPr>
          <w:color w:val="000000"/>
        </w:rPr>
      </w:pPr>
      <w:r>
        <w:rPr>
          <w:color w:val="000000"/>
          <w:vertAlign w:val="superscript"/>
        </w:rPr>
        <w:t>4</w:t>
      </w:r>
      <w:r w:rsidRPr="00AE207F">
        <w:rPr>
          <w:i/>
          <w:color w:val="000000"/>
        </w:rPr>
        <w:t xml:space="preserve"> “COLI Provisions of the Pension Protection Act of 2006”</w:t>
      </w:r>
      <w:r w:rsidRPr="00AE207F">
        <w:rPr>
          <w:color w:val="000000"/>
        </w:rPr>
        <w:t>, Hartford Life Private Placement, 2006</w:t>
      </w:r>
      <w:r>
        <w:rPr>
          <w:color w:val="000000"/>
        </w:rPr>
        <w:t>.</w:t>
      </w:r>
    </w:p>
    <w:p w:rsidR="00321C9E" w:rsidRPr="00E918BC" w:rsidRDefault="00321C9E" w:rsidP="00321C9E">
      <w:pPr>
        <w:rPr>
          <w:lang w:val="fr-FR"/>
        </w:rPr>
      </w:pPr>
      <w:r>
        <w:rPr>
          <w:vertAlign w:val="superscript"/>
        </w:rPr>
        <w:t>5</w:t>
      </w:r>
      <w:r>
        <w:t xml:space="preserve"> World Trade Center losses lower than originally expected, Insure.com Sept. 7, 2005. </w:t>
      </w:r>
      <w:r w:rsidRPr="00E918BC">
        <w:rPr>
          <w:lang w:val="fr-FR"/>
        </w:rPr>
        <w:t>&lt;http://www.insure.com/articles/businessinsurance/wtc-loss.html&gt;.</w:t>
      </w:r>
    </w:p>
    <w:p w:rsidR="00321C9E" w:rsidRPr="00E918BC" w:rsidRDefault="00321C9E" w:rsidP="00321C9E">
      <w:pPr>
        <w:rPr>
          <w:i/>
          <w:color w:val="000000"/>
          <w:lang w:val="fr-FR"/>
        </w:rPr>
      </w:pPr>
    </w:p>
    <w:p w:rsidR="00321C9E" w:rsidRPr="00E918BC" w:rsidRDefault="00321C9E" w:rsidP="00321C9E">
      <w:pPr>
        <w:jc w:val="center"/>
        <w:rPr>
          <w:b/>
          <w:color w:val="000000"/>
          <w:lang w:val="fr-FR"/>
        </w:rPr>
      </w:pPr>
      <w:r w:rsidRPr="00E918BC">
        <w:rPr>
          <w:b/>
          <w:color w:val="000000"/>
          <w:lang w:val="fr-FR"/>
        </w:rPr>
        <w:t>Selected</w:t>
      </w:r>
      <w:r w:rsidRPr="00321C9E">
        <w:rPr>
          <w:b/>
          <w:color w:val="000000"/>
          <w:lang w:val="en-US"/>
        </w:rPr>
        <w:t xml:space="preserve"> Bibliography</w:t>
      </w:r>
    </w:p>
    <w:p w:rsidR="00321C9E" w:rsidRPr="00E918BC" w:rsidRDefault="00321C9E" w:rsidP="00321C9E">
      <w:pPr>
        <w:rPr>
          <w:color w:val="000000"/>
          <w:lang w:val="fr-FR"/>
        </w:rPr>
      </w:pPr>
    </w:p>
    <w:p w:rsidR="00321C9E" w:rsidRDefault="00321C9E" w:rsidP="00321C9E">
      <w:pPr>
        <w:ind w:left="432" w:hanging="432"/>
        <w:rPr>
          <w:color w:val="000000"/>
        </w:rPr>
      </w:pPr>
      <w:r>
        <w:rPr>
          <w:color w:val="000000"/>
        </w:rPr>
        <w:t>“BOLI Growth Continues: Latest Trends in Bank-Owned Life Insurance”, BankDirector.com July 23</w:t>
      </w:r>
      <w:r w:rsidRPr="000B5D5A">
        <w:rPr>
          <w:color w:val="000000"/>
          <w:vertAlign w:val="superscript"/>
        </w:rPr>
        <w:t>rd</w:t>
      </w:r>
      <w:r>
        <w:rPr>
          <w:color w:val="000000"/>
        </w:rPr>
        <w:t>, 2014.</w:t>
      </w:r>
    </w:p>
    <w:p w:rsidR="00321C9E" w:rsidRDefault="00321C9E" w:rsidP="00321C9E">
      <w:pPr>
        <w:ind w:left="432" w:hanging="432"/>
        <w:rPr>
          <w:i/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AE207F">
        <w:rPr>
          <w:i/>
          <w:color w:val="000000"/>
        </w:rPr>
        <w:t>“COLI Provisions of the Pension Protection Act of 2006”</w:t>
      </w:r>
      <w:r w:rsidRPr="00AE207F">
        <w:rPr>
          <w:color w:val="000000"/>
        </w:rPr>
        <w:t>, Hartford Life Private Placement, 2006</w:t>
      </w:r>
      <w:r>
        <w:rPr>
          <w:color w:val="000000"/>
        </w:rPr>
        <w:t>.</w:t>
      </w:r>
    </w:p>
    <w:p w:rsidR="00321C9E" w:rsidRPr="00AE207F" w:rsidRDefault="00321C9E" w:rsidP="00321C9E">
      <w:pPr>
        <w:ind w:left="432" w:hanging="432"/>
        <w:rPr>
          <w:i/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AE207F">
        <w:rPr>
          <w:color w:val="000000"/>
        </w:rPr>
        <w:t xml:space="preserve">Executive Benefit Strategies, </w:t>
      </w:r>
      <w:r>
        <w:rPr>
          <w:color w:val="000000"/>
        </w:rPr>
        <w:t>&lt;</w:t>
      </w:r>
      <w:hyperlink r:id="rId9" w:history="1">
        <w:r w:rsidRPr="00AE207F">
          <w:rPr>
            <w:rStyle w:val="Hyperlink"/>
            <w:color w:val="000000"/>
          </w:rPr>
          <w:t>http://www.executivebenefitstartegies.com/boli.htm</w:t>
        </w:r>
      </w:hyperlink>
      <w:r>
        <w:rPr>
          <w:color w:val="000000"/>
        </w:rPr>
        <w:t>&gt;.</w:t>
      </w:r>
    </w:p>
    <w:p w:rsidR="00321C9E" w:rsidRPr="00AE207F" w:rsidRDefault="00321C9E" w:rsidP="00321C9E">
      <w:pPr>
        <w:ind w:left="432" w:hanging="432"/>
        <w:rPr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AE207F">
        <w:rPr>
          <w:color w:val="000000"/>
        </w:rPr>
        <w:t>Morris, James, Letter to M Financial Corporation, dated April 21, 1988 (Pacific Mutual Life Insurance Company)</w:t>
      </w:r>
      <w:r>
        <w:rPr>
          <w:color w:val="000000"/>
        </w:rPr>
        <w:t>.</w:t>
      </w:r>
      <w:r w:rsidRPr="00AE207F">
        <w:rPr>
          <w:color w:val="000000"/>
        </w:rPr>
        <w:t xml:space="preserve"> </w:t>
      </w:r>
    </w:p>
    <w:p w:rsidR="00321C9E" w:rsidRPr="00AE207F" w:rsidRDefault="00321C9E" w:rsidP="00321C9E">
      <w:pPr>
        <w:ind w:left="432" w:hanging="432"/>
        <w:rPr>
          <w:color w:val="000000"/>
        </w:rPr>
      </w:pPr>
    </w:p>
    <w:p w:rsidR="00321C9E" w:rsidRPr="00AE207F" w:rsidRDefault="00321C9E" w:rsidP="00321C9E">
      <w:pPr>
        <w:rPr>
          <w:color w:val="000000"/>
        </w:rPr>
      </w:pPr>
      <w:r>
        <w:rPr>
          <w:color w:val="000000"/>
        </w:rPr>
        <w:t>“</w:t>
      </w:r>
      <w:r w:rsidRPr="00101EC8">
        <w:rPr>
          <w:i/>
          <w:color w:val="000000"/>
        </w:rPr>
        <w:t>The ‘New’ COLI, Mel Todd</w:t>
      </w:r>
      <w:r>
        <w:rPr>
          <w:color w:val="000000"/>
        </w:rPr>
        <w:t>”, the Todd Organization, November 11, 2010.</w:t>
      </w:r>
      <w:r w:rsidRPr="00AE207F">
        <w:rPr>
          <w:color w:val="000000"/>
        </w:rPr>
        <w:t xml:space="preserve"> </w:t>
      </w:r>
    </w:p>
    <w:p w:rsidR="00321C9E" w:rsidRPr="00AE207F" w:rsidRDefault="00321C9E" w:rsidP="00321C9E">
      <w:pPr>
        <w:ind w:left="432" w:hanging="432"/>
        <w:rPr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AE207F">
        <w:rPr>
          <w:color w:val="000000"/>
        </w:rPr>
        <w:t>Smith, Brian, Angela Angelovska-Wilson and Aman Solomon, “</w:t>
      </w:r>
      <w:r w:rsidRPr="00AE207F">
        <w:rPr>
          <w:i/>
          <w:color w:val="000000"/>
        </w:rPr>
        <w:t xml:space="preserve">Developments in </w:t>
      </w:r>
      <w:r w:rsidRPr="00AE207F">
        <w:rPr>
          <w:i/>
          <w:color w:val="000000"/>
        </w:rPr>
        <w:br/>
        <w:t xml:space="preserve"> the Risk Management of Bank-Owned Life Insurance”</w:t>
      </w:r>
      <w:r w:rsidRPr="00AE207F">
        <w:rPr>
          <w:color w:val="000000"/>
        </w:rPr>
        <w:t xml:space="preserve">, Bank Accounting &amp; </w:t>
      </w:r>
      <w:r w:rsidRPr="00AE207F">
        <w:rPr>
          <w:color w:val="000000"/>
        </w:rPr>
        <w:br/>
        <w:t xml:space="preserve"> Finance, Oct. /Nov. 2006, pg. 20</w:t>
      </w:r>
      <w:r>
        <w:rPr>
          <w:color w:val="000000"/>
        </w:rPr>
        <w:t>.</w:t>
      </w:r>
    </w:p>
    <w:p w:rsidR="00321C9E" w:rsidRPr="00AE207F" w:rsidRDefault="00321C9E" w:rsidP="00321C9E">
      <w:pPr>
        <w:ind w:left="432" w:hanging="432"/>
        <w:rPr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AE207F">
        <w:rPr>
          <w:color w:val="000000"/>
        </w:rPr>
        <w:t>Swenson, Oscar, “G</w:t>
      </w:r>
      <w:r w:rsidRPr="00AE207F">
        <w:rPr>
          <w:i/>
          <w:color w:val="000000"/>
        </w:rPr>
        <w:t>uaranteed Issue Life Insurance</w:t>
      </w:r>
      <w:r w:rsidRPr="00AE207F">
        <w:rPr>
          <w:color w:val="000000"/>
        </w:rPr>
        <w:t>” (Pacific Mutual Life Insurance    Company, July 24, 1963), No. 63-3</w:t>
      </w:r>
      <w:r>
        <w:rPr>
          <w:color w:val="000000"/>
        </w:rPr>
        <w:t>.</w:t>
      </w:r>
    </w:p>
    <w:p w:rsidR="00321C9E" w:rsidRPr="00AE207F" w:rsidRDefault="00321C9E" w:rsidP="00321C9E">
      <w:pPr>
        <w:ind w:left="432" w:hanging="432"/>
        <w:rPr>
          <w:i/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321C9E">
        <w:rPr>
          <w:i/>
          <w:color w:val="000000"/>
          <w:lang w:val="en-US"/>
        </w:rPr>
        <w:t>“Writer Seeks to Derail Promotion of Charity-Owned Life Insurance”</w:t>
      </w:r>
      <w:r w:rsidRPr="00321C9E">
        <w:rPr>
          <w:color w:val="000000"/>
          <w:lang w:val="en-US"/>
        </w:rPr>
        <w:t>, Planned Giving Design Center, Dec. 2, 2003, &lt;</w:t>
      </w:r>
      <w:hyperlink r:id="rId10" w:history="1">
        <w:r w:rsidRPr="00321C9E">
          <w:rPr>
            <w:rStyle w:val="Hyperlink"/>
            <w:color w:val="000000"/>
            <w:lang w:val="en-US"/>
          </w:rPr>
          <w:t>http://www.pgdc.com/usa/item/?itemID=216394&amp;g11n.enc=ISO-8859-1</w:t>
        </w:r>
      </w:hyperlink>
      <w:r w:rsidRPr="00321C9E">
        <w:rPr>
          <w:color w:val="000000"/>
          <w:lang w:val="en-US"/>
        </w:rPr>
        <w:t>&gt;.</w:t>
      </w:r>
    </w:p>
    <w:p w:rsidR="00321C9E" w:rsidRPr="00AE207F" w:rsidRDefault="00321C9E" w:rsidP="00321C9E">
      <w:pPr>
        <w:ind w:left="432" w:hanging="432"/>
        <w:rPr>
          <w:color w:val="000000"/>
        </w:rPr>
      </w:pPr>
    </w:p>
    <w:p w:rsidR="00321C9E" w:rsidRPr="00AE207F" w:rsidRDefault="00321C9E" w:rsidP="00321C9E">
      <w:pPr>
        <w:ind w:left="432" w:hanging="432"/>
        <w:rPr>
          <w:color w:val="000000"/>
        </w:rPr>
      </w:pPr>
      <w:r w:rsidRPr="00AE207F">
        <w:rPr>
          <w:color w:val="000000"/>
        </w:rPr>
        <w:t xml:space="preserve">Zollars, Ed, </w:t>
      </w:r>
      <w:r w:rsidRPr="00AE207F">
        <w:rPr>
          <w:i/>
          <w:color w:val="000000"/>
        </w:rPr>
        <w:t>“Congress Plants a Landmine-Company Owned Life Insurance”</w:t>
      </w:r>
      <w:r w:rsidRPr="00AE207F">
        <w:rPr>
          <w:color w:val="000000"/>
        </w:rPr>
        <w:t xml:space="preserve">, Aug. 12, 2006, </w:t>
      </w:r>
      <w:r>
        <w:rPr>
          <w:color w:val="000000"/>
        </w:rPr>
        <w:t>&lt;</w:t>
      </w:r>
      <w:hyperlink r:id="rId11" w:history="1">
        <w:r w:rsidRPr="00AE207F">
          <w:rPr>
            <w:rStyle w:val="Hyperlink"/>
            <w:color w:val="000000"/>
          </w:rPr>
          <w:t>http://feeds.feedburner.com/EdZollarsTaxUpdate</w:t>
        </w:r>
      </w:hyperlink>
      <w:r>
        <w:rPr>
          <w:color w:val="000000"/>
        </w:rPr>
        <w:t>&gt;.</w:t>
      </w:r>
    </w:p>
    <w:p w:rsidR="00321C9E" w:rsidRPr="00AE207F" w:rsidRDefault="00321C9E" w:rsidP="00321C9E">
      <w:pPr>
        <w:rPr>
          <w:color w:val="000000"/>
        </w:rPr>
      </w:pPr>
    </w:p>
    <w:p w:rsidR="00321C9E" w:rsidRPr="00AE207F" w:rsidRDefault="00321C9E" w:rsidP="00321C9E">
      <w:pPr>
        <w:rPr>
          <w:color w:val="000000"/>
        </w:rPr>
      </w:pPr>
    </w:p>
    <w:p w:rsidR="00321C9E" w:rsidRDefault="00321C9E" w:rsidP="00321C9E"/>
    <w:p w:rsidR="00321C9E" w:rsidRPr="00321C9E" w:rsidRDefault="00321C9E" w:rsidP="00321C9E">
      <w:pPr>
        <w:jc w:val="center"/>
        <w:rPr>
          <w:sz w:val="24"/>
          <w:szCs w:val="24"/>
          <w:lang w:val="en-US"/>
        </w:rPr>
      </w:pPr>
    </w:p>
    <w:sectPr w:rsidR="00321C9E" w:rsidRPr="00321C9E" w:rsidSect="00C2505D"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A6" w:rsidRDefault="00485BA6" w:rsidP="007C3ACB">
      <w:pPr>
        <w:spacing w:line="240" w:lineRule="auto"/>
      </w:pPr>
      <w:r>
        <w:separator/>
      </w:r>
    </w:p>
  </w:endnote>
  <w:endnote w:type="continuationSeparator" w:id="0">
    <w:p w:rsidR="00485BA6" w:rsidRDefault="00485BA6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A6" w:rsidRDefault="00485BA6" w:rsidP="007C3ACB">
      <w:pPr>
        <w:spacing w:line="240" w:lineRule="auto"/>
      </w:pPr>
      <w:r>
        <w:separator/>
      </w:r>
    </w:p>
  </w:footnote>
  <w:footnote w:type="continuationSeparator" w:id="0">
    <w:p w:rsidR="00485BA6" w:rsidRDefault="00485BA6" w:rsidP="007C3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E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D5352"/>
    <w:rsid w:val="002E3DE1"/>
    <w:rsid w:val="00305455"/>
    <w:rsid w:val="00307346"/>
    <w:rsid w:val="00314DB4"/>
    <w:rsid w:val="00321C9E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85BA6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34EE5"/>
    <w:rsid w:val="00C54EA2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A0AF6-1332-42BC-9EB0-C6D7F8CB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character" w:styleId="CommentReference">
    <w:name w:val="annotation reference"/>
    <w:uiPriority w:val="99"/>
    <w:semiHidden/>
    <w:unhideWhenUsed/>
    <w:rsid w:val="0032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9E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9E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benefitstartegies.com/bol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eds.feedburner.com/EdZollarsTaxUp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dc.com/usa/item/?itemID=216394&amp;g11n.enc=ISO-8859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cutivebenefitstartegies.com/boli.htm" TargetMode="Externa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3D7C-0228-4FC1-86DF-36075713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1635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2018-09-06T20:16:00Z</dcterms:created>
  <dcterms:modified xsi:type="dcterms:W3CDTF">2018-09-06T20:16:00Z</dcterms:modified>
</cp:coreProperties>
</file>