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FA" w:rsidRDefault="009314FA" w:rsidP="009314FA">
      <w:pPr>
        <w:pStyle w:val="memo"/>
        <w:jc w:val="center"/>
        <w:rPr>
          <w:b/>
          <w:iCs/>
        </w:rPr>
      </w:pPr>
      <w:bookmarkStart w:id="0" w:name="_GoBack"/>
      <w:bookmarkEnd w:id="0"/>
      <w:r>
        <w:rPr>
          <w:b/>
          <w:iCs/>
        </w:rPr>
        <w:t>End Notes</w:t>
      </w:r>
    </w:p>
    <w:p w:rsidR="009314FA" w:rsidRDefault="009314FA" w:rsidP="009314FA">
      <w:pPr>
        <w:pStyle w:val="memo"/>
      </w:pP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</w:rPr>
      </w:pPr>
      <w:proofErr w:type="gramStart"/>
      <w:r w:rsidRPr="009314FA">
        <w:rPr>
          <w:rFonts w:ascii="Times New Roman" w:hAnsi="Times New Roman" w:cs="Times New Roman"/>
          <w:iCs/>
          <w:sz w:val="22"/>
          <w:szCs w:val="22"/>
          <w:vertAlign w:val="superscript"/>
          <w:lang w:val="en-CA"/>
        </w:rPr>
        <w:t xml:space="preserve">1  </w:t>
      </w:r>
      <w:r w:rsidRPr="009314FA">
        <w:rPr>
          <w:rFonts w:ascii="Times New Roman" w:hAnsi="Times New Roman" w:cs="Times New Roman"/>
          <w:sz w:val="22"/>
          <w:szCs w:val="22"/>
        </w:rPr>
        <w:t>M</w:t>
      </w:r>
      <w:proofErr w:type="gramEnd"/>
      <w:r w:rsidRPr="009314FA">
        <w:rPr>
          <w:rFonts w:ascii="Times New Roman" w:hAnsi="Times New Roman" w:cs="Times New Roman"/>
          <w:sz w:val="22"/>
          <w:szCs w:val="22"/>
        </w:rPr>
        <w:t xml:space="preserve">. Grossman, </w:t>
      </w:r>
      <w:r w:rsidRPr="009314FA">
        <w:rPr>
          <w:rFonts w:ascii="Times New Roman" w:hAnsi="Times New Roman" w:cs="Times New Roman"/>
          <w:i/>
          <w:sz w:val="22"/>
          <w:szCs w:val="22"/>
        </w:rPr>
        <w:t>Reinsurance-An Introduction</w:t>
      </w:r>
      <w:r w:rsidRPr="009314FA">
        <w:rPr>
          <w:rFonts w:ascii="Times New Roman" w:hAnsi="Times New Roman" w:cs="Times New Roman"/>
          <w:sz w:val="22"/>
          <w:szCs w:val="22"/>
        </w:rPr>
        <w:t>.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</w:rPr>
      </w:pPr>
      <w:proofErr w:type="gramStart"/>
      <w:r w:rsidRPr="009314FA">
        <w:rPr>
          <w:rFonts w:ascii="Times New Roman" w:hAnsi="Times New Roman" w:cs="Times New Roman"/>
          <w:iCs/>
          <w:sz w:val="22"/>
          <w:szCs w:val="22"/>
          <w:vertAlign w:val="superscript"/>
          <w:lang w:val="en-CA"/>
        </w:rPr>
        <w:t xml:space="preserve">2 </w:t>
      </w:r>
      <w:r w:rsidRPr="009314FA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Pr="009314FA">
        <w:rPr>
          <w:rFonts w:ascii="Times New Roman" w:hAnsi="Times New Roman" w:cs="Times New Roman"/>
          <w:sz w:val="22"/>
          <w:szCs w:val="22"/>
        </w:rPr>
        <w:t>Munich</w:t>
      </w:r>
      <w:proofErr w:type="gramEnd"/>
      <w:r w:rsidRPr="009314FA">
        <w:rPr>
          <w:rFonts w:ascii="Times New Roman" w:hAnsi="Times New Roman" w:cs="Times New Roman"/>
          <w:sz w:val="22"/>
          <w:szCs w:val="22"/>
        </w:rPr>
        <w:t xml:space="preserve"> American Survey 2013.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</w:rPr>
      </w:pPr>
      <w:r w:rsidRPr="009314FA">
        <w:rPr>
          <w:rFonts w:ascii="Times New Roman" w:hAnsi="Times New Roman" w:cs="Times New Roman"/>
          <w:iCs/>
          <w:sz w:val="22"/>
          <w:szCs w:val="22"/>
          <w:vertAlign w:val="superscript"/>
          <w:lang w:val="en-CA"/>
        </w:rPr>
        <w:t xml:space="preserve">3 </w:t>
      </w:r>
      <w:r w:rsidRPr="009314FA">
        <w:rPr>
          <w:rFonts w:ascii="Times New Roman" w:hAnsi="Times New Roman" w:cs="Times New Roman"/>
          <w:sz w:val="22"/>
          <w:szCs w:val="22"/>
        </w:rPr>
        <w:t xml:space="preserve">National Association of Insurance Commissioners/Glossary of Insurance Terms, available from </w:t>
      </w:r>
      <w:hyperlink r:id="rId8" w:anchor="R" w:history="1">
        <w:r w:rsidRPr="009314FA">
          <w:rPr>
            <w:rStyle w:val="Hyperlink"/>
            <w:rFonts w:ascii="Times New Roman" w:hAnsi="Times New Roman" w:cs="Times New Roman"/>
            <w:color w:val="000000"/>
            <w:sz w:val="22"/>
            <w:szCs w:val="22"/>
          </w:rPr>
          <w:t>http://www.naic.org/consumer_glossary.htm#R</w:t>
        </w:r>
      </w:hyperlink>
      <w:r w:rsidRPr="009314F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314FA">
        <w:rPr>
          <w:rFonts w:ascii="Times New Roman" w:hAnsi="Times New Roman" w:cs="Times New Roman"/>
          <w:sz w:val="22"/>
          <w:szCs w:val="22"/>
        </w:rPr>
        <w:t>accessed 2/8/2009.</w:t>
      </w:r>
      <w:r w:rsidRPr="009314FA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</w:rPr>
      </w:pPr>
      <w:r w:rsidRPr="009314FA">
        <w:rPr>
          <w:rFonts w:ascii="Times New Roman" w:hAnsi="Times New Roman" w:cs="Times New Roman"/>
          <w:iCs/>
          <w:sz w:val="22"/>
          <w:szCs w:val="22"/>
          <w:vertAlign w:val="superscript"/>
          <w:lang w:val="en-CA"/>
        </w:rPr>
        <w:t xml:space="preserve">4 </w:t>
      </w:r>
      <w:r w:rsidRPr="009314FA">
        <w:rPr>
          <w:rFonts w:ascii="Times New Roman" w:hAnsi="Times New Roman" w:cs="Times New Roman"/>
          <w:sz w:val="22"/>
          <w:szCs w:val="22"/>
        </w:rPr>
        <w:t xml:space="preserve">Glossary of Reinsurance Terms compiled by the American Council of Life Insurers (ACLI) Reinsurance Committee, available from </w:t>
      </w:r>
      <w:hyperlink r:id="rId9" w:history="1">
        <w:r w:rsidRPr="009314FA">
          <w:rPr>
            <w:rStyle w:val="Hyperlink"/>
            <w:rFonts w:ascii="Times New Roman" w:hAnsi="Times New Roman" w:cs="Times New Roman"/>
            <w:color w:val="000000"/>
            <w:sz w:val="22"/>
            <w:szCs w:val="22"/>
          </w:rPr>
          <w:t>http://www.findalink.net/reinsurance/index.php</w:t>
        </w:r>
      </w:hyperlink>
      <w:r w:rsidRPr="009314F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314FA">
        <w:rPr>
          <w:rFonts w:ascii="Times New Roman" w:hAnsi="Times New Roman" w:cs="Times New Roman"/>
          <w:sz w:val="22"/>
          <w:szCs w:val="22"/>
        </w:rPr>
        <w:t>accessed 2/8/2009.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</w:rPr>
      </w:pPr>
      <w:r w:rsidRPr="009314FA">
        <w:rPr>
          <w:rFonts w:ascii="Times New Roman" w:hAnsi="Times New Roman" w:cs="Times New Roman"/>
          <w:iCs/>
          <w:sz w:val="22"/>
          <w:szCs w:val="22"/>
          <w:vertAlign w:val="superscript"/>
          <w:lang w:val="en-CA"/>
        </w:rPr>
        <w:t xml:space="preserve">5 </w:t>
      </w:r>
      <w:r w:rsidRPr="009314FA">
        <w:rPr>
          <w:rFonts w:ascii="Times New Roman" w:hAnsi="Times New Roman" w:cs="Times New Roman"/>
          <w:sz w:val="22"/>
          <w:szCs w:val="22"/>
        </w:rPr>
        <w:t xml:space="preserve">Glossary of Reinsurance Terms compiled by the American Council of Life Insurers (ACLI) Reinsurance Committee, available from </w:t>
      </w:r>
      <w:hyperlink r:id="rId10" w:history="1">
        <w:r w:rsidRPr="009314FA">
          <w:rPr>
            <w:rStyle w:val="Hyperlink"/>
            <w:rFonts w:ascii="Times New Roman" w:hAnsi="Times New Roman" w:cs="Times New Roman"/>
            <w:color w:val="000000"/>
            <w:sz w:val="22"/>
            <w:szCs w:val="22"/>
          </w:rPr>
          <w:t>http://www.findalink.net/reinsurance/index.php</w:t>
        </w:r>
      </w:hyperlink>
      <w:r w:rsidRPr="009314F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314FA">
        <w:rPr>
          <w:rFonts w:ascii="Times New Roman" w:hAnsi="Times New Roman" w:cs="Times New Roman"/>
          <w:sz w:val="22"/>
          <w:szCs w:val="22"/>
        </w:rPr>
        <w:t>accessed 2/8/2009.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6  </w:t>
      </w:r>
      <w:r w:rsidRPr="009314FA">
        <w:rPr>
          <w:rFonts w:ascii="Times New Roman" w:hAnsi="Times New Roman" w:cs="Times New Roman"/>
          <w:sz w:val="22"/>
          <w:szCs w:val="22"/>
        </w:rPr>
        <w:t>Answers.com</w:t>
      </w:r>
      <w:proofErr w:type="gramEnd"/>
      <w:r w:rsidRPr="009314FA">
        <w:rPr>
          <w:rFonts w:ascii="Times New Roman" w:hAnsi="Times New Roman" w:cs="Times New Roman"/>
          <w:sz w:val="22"/>
          <w:szCs w:val="22"/>
        </w:rPr>
        <w:t xml:space="preserve">, The Law of Large Numbers, available at </w:t>
      </w:r>
      <w:hyperlink r:id="rId11" w:history="1">
        <w:r w:rsidRPr="009314FA">
          <w:rPr>
            <w:rStyle w:val="Hyperlink"/>
            <w:rFonts w:ascii="Times New Roman" w:hAnsi="Times New Roman" w:cs="Times New Roman"/>
            <w:color w:val="000000"/>
            <w:sz w:val="22"/>
            <w:szCs w:val="22"/>
          </w:rPr>
          <w:t>http://www.answers.com/topic/law-of-large-numbers</w:t>
        </w:r>
      </w:hyperlink>
      <w:r w:rsidRPr="009314FA">
        <w:rPr>
          <w:rFonts w:ascii="Times New Roman" w:hAnsi="Times New Roman" w:cs="Times New Roman"/>
          <w:color w:val="000000"/>
          <w:sz w:val="22"/>
          <w:szCs w:val="22"/>
        </w:rPr>
        <w:t>, accessed 2/8/2009.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</w:rPr>
      </w:pPr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7 </w:t>
      </w:r>
      <w:r w:rsidRPr="009314FA">
        <w:rPr>
          <w:rFonts w:ascii="Times New Roman" w:hAnsi="Times New Roman" w:cs="Times New Roman"/>
          <w:sz w:val="22"/>
          <w:szCs w:val="22"/>
        </w:rPr>
        <w:t xml:space="preserve">Glossary of Reinsurance Terms compiled by the American Council of Life Insurers (ACLI) Reinsurance Committee, available from </w:t>
      </w:r>
      <w:hyperlink r:id="rId12" w:history="1">
        <w:r w:rsidRPr="009314FA">
          <w:rPr>
            <w:rStyle w:val="Hyperlink"/>
            <w:rFonts w:ascii="Times New Roman" w:hAnsi="Times New Roman" w:cs="Times New Roman"/>
            <w:color w:val="000000"/>
            <w:sz w:val="22"/>
            <w:szCs w:val="22"/>
          </w:rPr>
          <w:t>http://www.findalink.net/reinsurance/index.php</w:t>
        </w:r>
      </w:hyperlink>
      <w:r w:rsidRPr="009314F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314FA">
        <w:rPr>
          <w:rFonts w:ascii="Times New Roman" w:hAnsi="Times New Roman" w:cs="Times New Roman"/>
          <w:sz w:val="22"/>
          <w:szCs w:val="22"/>
        </w:rPr>
        <w:t>accessed 2/8/2009.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8  </w:t>
      </w:r>
      <w:r w:rsidRPr="009314FA">
        <w:rPr>
          <w:rFonts w:ascii="Times New Roman" w:hAnsi="Times New Roman" w:cs="Times New Roman"/>
          <w:sz w:val="22"/>
          <w:szCs w:val="22"/>
          <w:u w:val="single"/>
        </w:rPr>
        <w:t>Ibid</w:t>
      </w:r>
      <w:proofErr w:type="gramEnd"/>
      <w:r w:rsidRPr="009314FA">
        <w:rPr>
          <w:rFonts w:ascii="Times New Roman" w:hAnsi="Times New Roman" w:cs="Times New Roman"/>
          <w:sz w:val="22"/>
          <w:szCs w:val="22"/>
        </w:rPr>
        <w:t>.</w:t>
      </w:r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9  </w:t>
      </w:r>
      <w:r w:rsidRPr="009314FA">
        <w:rPr>
          <w:rFonts w:ascii="Times New Roman" w:hAnsi="Times New Roman" w:cs="Times New Roman"/>
          <w:sz w:val="22"/>
          <w:szCs w:val="22"/>
          <w:u w:val="single"/>
        </w:rPr>
        <w:t>Ibid</w:t>
      </w:r>
      <w:proofErr w:type="gramEnd"/>
      <w:r w:rsidRPr="009314FA">
        <w:rPr>
          <w:rFonts w:ascii="Times New Roman" w:hAnsi="Times New Roman" w:cs="Times New Roman"/>
          <w:sz w:val="22"/>
          <w:szCs w:val="22"/>
        </w:rPr>
        <w:t>.</w:t>
      </w:r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  <w:vertAlign w:val="superscript"/>
        </w:rPr>
      </w:pPr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10 </w:t>
      </w:r>
      <w:r w:rsidRPr="009314FA">
        <w:rPr>
          <w:rFonts w:ascii="Times New Roman" w:hAnsi="Times New Roman" w:cs="Times New Roman"/>
          <w:sz w:val="22"/>
          <w:szCs w:val="22"/>
          <w:u w:val="single"/>
        </w:rPr>
        <w:t>Ibid</w:t>
      </w:r>
      <w:r w:rsidRPr="009314FA">
        <w:rPr>
          <w:rFonts w:ascii="Times New Roman" w:hAnsi="Times New Roman" w:cs="Times New Roman"/>
          <w:sz w:val="22"/>
          <w:szCs w:val="22"/>
        </w:rPr>
        <w:t>.</w:t>
      </w:r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  <w:vertAlign w:val="superscript"/>
        </w:rPr>
      </w:pPr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11 </w:t>
      </w:r>
      <w:r w:rsidRPr="009314FA">
        <w:rPr>
          <w:rFonts w:ascii="Times New Roman" w:hAnsi="Times New Roman" w:cs="Times New Roman"/>
          <w:sz w:val="22"/>
          <w:szCs w:val="22"/>
          <w:u w:val="single"/>
        </w:rPr>
        <w:t>Ibid</w:t>
      </w:r>
      <w:r w:rsidRPr="009314FA">
        <w:rPr>
          <w:rFonts w:ascii="Times New Roman" w:hAnsi="Times New Roman" w:cs="Times New Roman"/>
          <w:sz w:val="22"/>
          <w:szCs w:val="22"/>
        </w:rPr>
        <w:t>.</w:t>
      </w:r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  <w:vertAlign w:val="superscript"/>
        </w:rPr>
      </w:pPr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12 </w:t>
      </w:r>
      <w:r w:rsidRPr="009314FA">
        <w:rPr>
          <w:rFonts w:ascii="Times New Roman" w:hAnsi="Times New Roman" w:cs="Times New Roman"/>
          <w:sz w:val="22"/>
          <w:szCs w:val="22"/>
          <w:u w:val="single"/>
        </w:rPr>
        <w:t>Ibid</w:t>
      </w:r>
      <w:r w:rsidRPr="009314FA">
        <w:rPr>
          <w:rFonts w:ascii="Times New Roman" w:hAnsi="Times New Roman" w:cs="Times New Roman"/>
          <w:sz w:val="22"/>
          <w:szCs w:val="22"/>
        </w:rPr>
        <w:t>.</w:t>
      </w:r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9314FA" w:rsidRPr="009314FA" w:rsidRDefault="009314FA" w:rsidP="009314FA">
      <w:pPr>
        <w:pStyle w:val="memo"/>
        <w:rPr>
          <w:rFonts w:ascii="Times New Roman" w:hAnsi="Times New Roman" w:cs="Times New Roman"/>
          <w:sz w:val="22"/>
          <w:szCs w:val="22"/>
        </w:rPr>
      </w:pPr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13 </w:t>
      </w:r>
      <w:r w:rsidRPr="009314FA">
        <w:rPr>
          <w:rFonts w:ascii="Times New Roman" w:hAnsi="Times New Roman" w:cs="Times New Roman"/>
          <w:sz w:val="22"/>
          <w:szCs w:val="22"/>
          <w:u w:val="single"/>
        </w:rPr>
        <w:t>Ibid</w:t>
      </w:r>
      <w:r w:rsidRPr="009314FA">
        <w:rPr>
          <w:rFonts w:ascii="Times New Roman" w:hAnsi="Times New Roman" w:cs="Times New Roman"/>
          <w:sz w:val="22"/>
          <w:szCs w:val="22"/>
        </w:rPr>
        <w:t>.</w:t>
      </w:r>
      <w:r w:rsidRPr="009314F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9314FA" w:rsidRDefault="009314FA" w:rsidP="009314FA">
      <w:pPr>
        <w:pStyle w:val="EndnoteText"/>
        <w:jc w:val="center"/>
        <w:rPr>
          <w:b/>
          <w:bCs/>
          <w:sz w:val="24"/>
          <w:szCs w:val="24"/>
        </w:rPr>
      </w:pPr>
    </w:p>
    <w:p w:rsidR="009314FA" w:rsidRDefault="009314FA" w:rsidP="00C62A3D">
      <w:pPr>
        <w:pStyle w:val="EndnoteText"/>
        <w:jc w:val="center"/>
        <w:rPr>
          <w:b/>
          <w:bCs/>
          <w:sz w:val="24"/>
          <w:szCs w:val="24"/>
          <w:lang w:val="en-US"/>
        </w:rPr>
      </w:pPr>
    </w:p>
    <w:p w:rsidR="009314FA" w:rsidRDefault="009314FA" w:rsidP="00C62A3D">
      <w:pPr>
        <w:pStyle w:val="EndnoteText"/>
        <w:jc w:val="center"/>
        <w:rPr>
          <w:b/>
          <w:bCs/>
          <w:sz w:val="24"/>
          <w:szCs w:val="24"/>
          <w:lang w:val="en-US"/>
        </w:rPr>
      </w:pPr>
    </w:p>
    <w:p w:rsidR="00C62A3D" w:rsidRDefault="00C62A3D" w:rsidP="00C62A3D">
      <w:pPr>
        <w:pStyle w:val="Endnote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Bibliography</w:t>
      </w:r>
    </w:p>
    <w:p w:rsidR="00C62A3D" w:rsidRDefault="00C62A3D" w:rsidP="00C62A3D">
      <w:pPr>
        <w:pStyle w:val="EndnoteText"/>
        <w:jc w:val="center"/>
        <w:rPr>
          <w:b/>
          <w:bCs/>
          <w:sz w:val="24"/>
          <w:szCs w:val="24"/>
        </w:rPr>
      </w:pPr>
    </w:p>
    <w:p w:rsidR="00C62A3D" w:rsidRPr="00C62A3D" w:rsidRDefault="00C62A3D" w:rsidP="00C62A3D">
      <w:pPr>
        <w:pStyle w:val="EndnoteText"/>
        <w:rPr>
          <w:color w:val="000000"/>
          <w:sz w:val="22"/>
          <w:szCs w:val="22"/>
        </w:rPr>
      </w:pPr>
      <w:r w:rsidRPr="00C62A3D">
        <w:rPr>
          <w:iCs/>
          <w:color w:val="000000"/>
          <w:sz w:val="22"/>
          <w:szCs w:val="22"/>
        </w:rPr>
        <w:t>An Introduction to Reinsurance</w:t>
      </w:r>
      <w:r w:rsidRPr="00C62A3D">
        <w:rPr>
          <w:color w:val="000000"/>
          <w:sz w:val="22"/>
          <w:szCs w:val="22"/>
        </w:rPr>
        <w:t xml:space="preserve"> by the Technical Publishing </w:t>
      </w:r>
      <w:proofErr w:type="spellStart"/>
      <w:r w:rsidRPr="00C62A3D">
        <w:rPr>
          <w:color w:val="000000"/>
          <w:sz w:val="22"/>
          <w:szCs w:val="22"/>
        </w:rPr>
        <w:t>Dept</w:t>
      </w:r>
      <w:proofErr w:type="spellEnd"/>
      <w:r w:rsidRPr="00C62A3D">
        <w:rPr>
          <w:color w:val="000000"/>
          <w:sz w:val="22"/>
          <w:szCs w:val="22"/>
        </w:rPr>
        <w:t xml:space="preserve"> at Swiss Reinsurance, available at </w:t>
      </w:r>
      <w:hyperlink r:id="rId13" w:history="1">
        <w:r w:rsidRPr="00C62A3D">
          <w:rPr>
            <w:rStyle w:val="Hyperlink"/>
            <w:color w:val="000000"/>
            <w:sz w:val="22"/>
            <w:szCs w:val="22"/>
          </w:rPr>
          <w:t>http://www.swissre.com/resources/50202e80455c79cfb034ba80a45d76a0-Publ07_Introduction_Reinsurance.pdf and accessed 2/8/2009</w:t>
        </w:r>
      </w:hyperlink>
      <w:r w:rsidRPr="00C62A3D">
        <w:rPr>
          <w:color w:val="000000"/>
          <w:sz w:val="22"/>
          <w:szCs w:val="22"/>
        </w:rPr>
        <w:t>.</w:t>
      </w:r>
    </w:p>
    <w:p w:rsidR="00C62A3D" w:rsidRPr="00C62A3D" w:rsidRDefault="00C62A3D" w:rsidP="00C62A3D">
      <w:pPr>
        <w:pStyle w:val="EndnoteText"/>
        <w:rPr>
          <w:sz w:val="22"/>
          <w:szCs w:val="22"/>
        </w:rPr>
      </w:pPr>
    </w:p>
    <w:p w:rsidR="00C62A3D" w:rsidRPr="00C62A3D" w:rsidRDefault="00C62A3D" w:rsidP="00C62A3D">
      <w:pPr>
        <w:pStyle w:val="EndnoteText"/>
        <w:rPr>
          <w:sz w:val="22"/>
          <w:szCs w:val="22"/>
        </w:rPr>
      </w:pPr>
      <w:proofErr w:type="spellStart"/>
      <w:r w:rsidRPr="00C62A3D">
        <w:rPr>
          <w:sz w:val="22"/>
          <w:szCs w:val="22"/>
        </w:rPr>
        <w:t>Bruggeman</w:t>
      </w:r>
      <w:proofErr w:type="spellEnd"/>
      <w:r w:rsidRPr="00C62A3D">
        <w:rPr>
          <w:sz w:val="22"/>
          <w:szCs w:val="22"/>
        </w:rPr>
        <w:t xml:space="preserve">, David. </w:t>
      </w:r>
      <w:r w:rsidRPr="00C62A3D">
        <w:rPr>
          <w:i/>
          <w:iCs/>
          <w:sz w:val="22"/>
          <w:szCs w:val="22"/>
        </w:rPr>
        <w:t>Life Reinsurance Data from the Munich American Survey</w:t>
      </w:r>
      <w:r w:rsidRPr="00C62A3D">
        <w:rPr>
          <w:sz w:val="22"/>
          <w:szCs w:val="22"/>
        </w:rPr>
        <w:t xml:space="preserve"> as published in the </w:t>
      </w:r>
      <w:r w:rsidRPr="00C62A3D">
        <w:rPr>
          <w:i/>
          <w:iCs/>
          <w:sz w:val="22"/>
          <w:szCs w:val="22"/>
        </w:rPr>
        <w:t xml:space="preserve">Reinsurance News, </w:t>
      </w:r>
      <w:r w:rsidRPr="00C62A3D">
        <w:rPr>
          <w:i/>
          <w:iCs/>
          <w:sz w:val="22"/>
          <w:szCs w:val="22"/>
          <w:lang w:val="en-US"/>
        </w:rPr>
        <w:t>July 2014</w:t>
      </w:r>
      <w:r w:rsidRPr="00C62A3D">
        <w:rPr>
          <w:i/>
          <w:iCs/>
          <w:sz w:val="22"/>
          <w:szCs w:val="22"/>
        </w:rPr>
        <w:t xml:space="preserve">, Issue </w:t>
      </w:r>
      <w:r w:rsidRPr="00C62A3D">
        <w:rPr>
          <w:i/>
          <w:iCs/>
          <w:sz w:val="22"/>
          <w:szCs w:val="22"/>
          <w:lang w:val="en-US"/>
        </w:rPr>
        <w:t>79</w:t>
      </w:r>
      <w:r w:rsidRPr="00C62A3D">
        <w:rPr>
          <w:sz w:val="22"/>
          <w:szCs w:val="22"/>
        </w:rPr>
        <w:t xml:space="preserve"> from the Society of Actuaries.</w:t>
      </w:r>
    </w:p>
    <w:p w:rsidR="00C62A3D" w:rsidRPr="00C62A3D" w:rsidRDefault="00C62A3D" w:rsidP="00C62A3D">
      <w:pPr>
        <w:pStyle w:val="EndnoteText"/>
        <w:rPr>
          <w:i/>
          <w:iCs/>
          <w:sz w:val="22"/>
          <w:szCs w:val="22"/>
        </w:rPr>
      </w:pPr>
    </w:p>
    <w:p w:rsidR="00C62A3D" w:rsidRPr="00C62A3D" w:rsidRDefault="00C62A3D" w:rsidP="00C62A3D">
      <w:pPr>
        <w:pStyle w:val="EndnoteText"/>
        <w:rPr>
          <w:sz w:val="22"/>
          <w:szCs w:val="22"/>
        </w:rPr>
      </w:pPr>
      <w:proofErr w:type="spellStart"/>
      <w:r w:rsidRPr="00C62A3D">
        <w:rPr>
          <w:sz w:val="22"/>
          <w:szCs w:val="22"/>
        </w:rPr>
        <w:t>Geretto</w:t>
      </w:r>
      <w:proofErr w:type="spellEnd"/>
      <w:r w:rsidRPr="00C62A3D">
        <w:rPr>
          <w:sz w:val="22"/>
          <w:szCs w:val="22"/>
        </w:rPr>
        <w:t xml:space="preserve">, Gaetano. </w:t>
      </w:r>
      <w:r w:rsidRPr="00C62A3D">
        <w:rPr>
          <w:i/>
          <w:iCs/>
          <w:sz w:val="22"/>
          <w:szCs w:val="22"/>
        </w:rPr>
        <w:t>Executive Perspectives on Strategy and Risk in Reinsurance</w:t>
      </w:r>
      <w:r w:rsidRPr="00C62A3D">
        <w:rPr>
          <w:sz w:val="22"/>
          <w:szCs w:val="22"/>
        </w:rPr>
        <w:t xml:space="preserve"> as published in the </w:t>
      </w:r>
      <w:r w:rsidRPr="00C62A3D">
        <w:rPr>
          <w:i/>
          <w:iCs/>
          <w:sz w:val="22"/>
          <w:szCs w:val="22"/>
        </w:rPr>
        <w:t>Reinsurance News, August 2008, Issue 63</w:t>
      </w:r>
      <w:r w:rsidRPr="00C62A3D">
        <w:rPr>
          <w:sz w:val="22"/>
          <w:szCs w:val="22"/>
        </w:rPr>
        <w:t xml:space="preserve"> from the Society of Actuaries.</w:t>
      </w:r>
    </w:p>
    <w:p w:rsidR="00C62A3D" w:rsidRPr="00C62A3D" w:rsidRDefault="00C62A3D" w:rsidP="00C62A3D">
      <w:pPr>
        <w:pStyle w:val="EndnoteText"/>
        <w:rPr>
          <w:sz w:val="22"/>
          <w:szCs w:val="22"/>
        </w:rPr>
      </w:pPr>
    </w:p>
    <w:p w:rsidR="00C62A3D" w:rsidRPr="00C62A3D" w:rsidRDefault="00C62A3D" w:rsidP="00C62A3D">
      <w:pPr>
        <w:pStyle w:val="EndnoteText"/>
        <w:rPr>
          <w:sz w:val="22"/>
          <w:szCs w:val="22"/>
        </w:rPr>
      </w:pPr>
      <w:r w:rsidRPr="00C62A3D">
        <w:rPr>
          <w:sz w:val="22"/>
          <w:szCs w:val="22"/>
        </w:rPr>
        <w:t xml:space="preserve">Holland, David. </w:t>
      </w:r>
      <w:r w:rsidRPr="00C62A3D">
        <w:rPr>
          <w:i/>
          <w:iCs/>
          <w:sz w:val="22"/>
          <w:szCs w:val="22"/>
        </w:rPr>
        <w:t>“A Brief History of Reinsurance”</w:t>
      </w:r>
      <w:r w:rsidRPr="00C62A3D">
        <w:rPr>
          <w:sz w:val="22"/>
          <w:szCs w:val="22"/>
        </w:rPr>
        <w:t>, from the ACLI Reinsurance Executive Roundtable, January 2008.</w:t>
      </w:r>
    </w:p>
    <w:p w:rsidR="00C62A3D" w:rsidRPr="00C62A3D" w:rsidRDefault="00C62A3D" w:rsidP="00C62A3D">
      <w:pPr>
        <w:pStyle w:val="EndnoteText"/>
        <w:rPr>
          <w:sz w:val="22"/>
          <w:szCs w:val="22"/>
        </w:rPr>
      </w:pPr>
    </w:p>
    <w:p w:rsidR="00C62A3D" w:rsidRPr="00C62A3D" w:rsidRDefault="00C62A3D" w:rsidP="00C62A3D">
      <w:pPr>
        <w:pStyle w:val="EndnoteText"/>
        <w:rPr>
          <w:sz w:val="22"/>
          <w:szCs w:val="22"/>
        </w:rPr>
      </w:pPr>
      <w:proofErr w:type="spellStart"/>
      <w:r w:rsidRPr="00C62A3D">
        <w:rPr>
          <w:sz w:val="22"/>
          <w:szCs w:val="22"/>
        </w:rPr>
        <w:t>Swetala</w:t>
      </w:r>
      <w:proofErr w:type="spellEnd"/>
      <w:r w:rsidRPr="00C62A3D">
        <w:rPr>
          <w:sz w:val="22"/>
          <w:szCs w:val="22"/>
        </w:rPr>
        <w:t xml:space="preserve">, Dick. </w:t>
      </w:r>
      <w:r w:rsidRPr="00C62A3D">
        <w:rPr>
          <w:i/>
          <w:iCs/>
          <w:sz w:val="22"/>
          <w:szCs w:val="22"/>
        </w:rPr>
        <w:t xml:space="preserve">Fundamentals of Life Reinsurance; An Underwriting Perspective. </w:t>
      </w:r>
      <w:r w:rsidRPr="00C62A3D">
        <w:rPr>
          <w:sz w:val="22"/>
          <w:szCs w:val="22"/>
        </w:rPr>
        <w:t xml:space="preserve">From the Academy of Life Underwriting, Exam 202, revised 2007.  </w:t>
      </w:r>
    </w:p>
    <w:p w:rsidR="00C62A3D" w:rsidRPr="00C62A3D" w:rsidRDefault="00C62A3D" w:rsidP="00C62A3D">
      <w:pPr>
        <w:pStyle w:val="EndnoteText"/>
        <w:rPr>
          <w:sz w:val="22"/>
          <w:szCs w:val="22"/>
        </w:rPr>
      </w:pPr>
    </w:p>
    <w:p w:rsidR="00C62A3D" w:rsidRPr="00C62A3D" w:rsidRDefault="00C62A3D" w:rsidP="00C62A3D">
      <w:pPr>
        <w:pStyle w:val="EndnoteText"/>
        <w:rPr>
          <w:sz w:val="22"/>
          <w:szCs w:val="22"/>
        </w:rPr>
      </w:pPr>
      <w:r w:rsidRPr="00C62A3D">
        <w:rPr>
          <w:sz w:val="22"/>
          <w:szCs w:val="22"/>
        </w:rPr>
        <w:t xml:space="preserve">Tiller, John and Denise. </w:t>
      </w:r>
      <w:r w:rsidRPr="00C62A3D">
        <w:rPr>
          <w:i/>
          <w:iCs/>
          <w:sz w:val="22"/>
          <w:szCs w:val="22"/>
        </w:rPr>
        <w:t>Life, Health and Annuity Reinsurance, 2</w:t>
      </w:r>
      <w:r w:rsidRPr="00C62A3D">
        <w:rPr>
          <w:i/>
          <w:iCs/>
          <w:sz w:val="22"/>
          <w:szCs w:val="22"/>
          <w:vertAlign w:val="superscript"/>
        </w:rPr>
        <w:t>nd</w:t>
      </w:r>
      <w:r w:rsidRPr="00C62A3D">
        <w:rPr>
          <w:i/>
          <w:iCs/>
          <w:sz w:val="22"/>
          <w:szCs w:val="22"/>
        </w:rPr>
        <w:t xml:space="preserve"> Edition.</w:t>
      </w:r>
      <w:r w:rsidRPr="00C62A3D">
        <w:rPr>
          <w:sz w:val="22"/>
          <w:szCs w:val="22"/>
        </w:rPr>
        <w:t xml:space="preserve"> ACTEX Publications, Winsted CT 1995. </w:t>
      </w:r>
    </w:p>
    <w:p w:rsidR="00C62A3D" w:rsidRPr="00C62A3D" w:rsidRDefault="00C62A3D" w:rsidP="00C62A3D">
      <w:pPr>
        <w:pStyle w:val="EndnoteText"/>
        <w:rPr>
          <w:sz w:val="22"/>
          <w:szCs w:val="22"/>
        </w:rPr>
      </w:pPr>
    </w:p>
    <w:p w:rsidR="00C62A3D" w:rsidRPr="00C62A3D" w:rsidRDefault="00C62A3D" w:rsidP="00C62A3D">
      <w:pPr>
        <w:pStyle w:val="EndnoteText"/>
        <w:rPr>
          <w:sz w:val="22"/>
          <w:szCs w:val="22"/>
        </w:rPr>
      </w:pPr>
      <w:r w:rsidRPr="00C62A3D">
        <w:rPr>
          <w:sz w:val="22"/>
          <w:szCs w:val="22"/>
        </w:rPr>
        <w:t xml:space="preserve">Walker, Connie et al. </w:t>
      </w:r>
      <w:r w:rsidRPr="00C62A3D">
        <w:rPr>
          <w:i/>
          <w:iCs/>
          <w:sz w:val="22"/>
          <w:szCs w:val="22"/>
        </w:rPr>
        <w:t>Life Reinsurance Treaty Sourcebook</w:t>
      </w:r>
      <w:r w:rsidRPr="00C62A3D">
        <w:rPr>
          <w:sz w:val="22"/>
          <w:szCs w:val="22"/>
        </w:rPr>
        <w:t>. American Council of Life Insurers, Washington, DC. 2002.</w:t>
      </w:r>
    </w:p>
    <w:p w:rsidR="00C62A3D" w:rsidRPr="00C62A3D" w:rsidRDefault="00C62A3D" w:rsidP="00C62A3D">
      <w:pPr>
        <w:pStyle w:val="EndnoteText"/>
        <w:rPr>
          <w:b/>
          <w:bCs/>
          <w:sz w:val="22"/>
          <w:szCs w:val="22"/>
        </w:rPr>
      </w:pPr>
    </w:p>
    <w:p w:rsidR="00C62A3D" w:rsidRDefault="00C62A3D" w:rsidP="00C62A3D">
      <w:pPr>
        <w:pStyle w:val="EndnoteText"/>
        <w:rPr>
          <w:sz w:val="24"/>
          <w:szCs w:val="24"/>
        </w:rPr>
      </w:pPr>
    </w:p>
    <w:p w:rsidR="00C70C30" w:rsidRPr="00C70C30" w:rsidRDefault="00C70C30" w:rsidP="00C62A3D">
      <w:pPr>
        <w:jc w:val="center"/>
      </w:pPr>
    </w:p>
    <w:sectPr w:rsidR="00C70C30" w:rsidRPr="00C70C30" w:rsidSect="00C250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16" w:rsidRDefault="00123A16" w:rsidP="007C3ACB">
      <w:r>
        <w:separator/>
      </w:r>
    </w:p>
  </w:endnote>
  <w:endnote w:type="continuationSeparator" w:id="0">
    <w:p w:rsidR="00123A16" w:rsidRDefault="00123A16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16" w:rsidRDefault="00123A16" w:rsidP="007C3ACB">
      <w:r>
        <w:separator/>
      </w:r>
    </w:p>
  </w:footnote>
  <w:footnote w:type="continuationSeparator" w:id="0">
    <w:p w:rsidR="00123A16" w:rsidRDefault="00123A16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3D"/>
    <w:rsid w:val="00001F1C"/>
    <w:rsid w:val="00004E72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23A16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272F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3A0B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314FA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62A3D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67914-0500-41B0-9DC2-C83B5878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3D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 w:line="264" w:lineRule="auto"/>
      <w:outlineLvl w:val="1"/>
    </w:pPr>
    <w:rPr>
      <w:rFonts w:ascii="Arial" w:hAnsi="Arial" w:cs="Arial"/>
      <w:b/>
      <w:sz w:val="20"/>
      <w:szCs w:val="22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 w:val="20"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 w:line="264" w:lineRule="auto"/>
      <w:outlineLvl w:val="4"/>
    </w:pPr>
    <w:rPr>
      <w:rFonts w:asciiTheme="majorHAnsi" w:eastAsiaTheme="majorEastAsia" w:hAnsiTheme="majorHAnsi" w:cstheme="majorBidi"/>
      <w:sz w:val="20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 w:line="264" w:lineRule="auto"/>
    </w:pPr>
    <w:rPr>
      <w:rFonts w:ascii="Arial" w:hAnsi="Arial" w:cs="Arial"/>
      <w:b/>
      <w:bCs/>
      <w:sz w:val="22"/>
      <w:szCs w:val="22"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spacing w:line="264" w:lineRule="auto"/>
      <w:ind w:left="284"/>
    </w:pPr>
    <w:rPr>
      <w:rFonts w:ascii="Arial" w:hAnsi="Arial" w:cs="Arial"/>
      <w:sz w:val="22"/>
      <w:szCs w:val="22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spacing w:line="264" w:lineRule="auto"/>
      <w:contextualSpacing/>
    </w:pPr>
    <w:rPr>
      <w:rFonts w:ascii="Arial" w:hAnsi="Arial" w:cs="Arial"/>
      <w:sz w:val="22"/>
      <w:szCs w:val="22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spacing w:line="264" w:lineRule="auto"/>
      <w:jc w:val="right"/>
    </w:pPr>
    <w:rPr>
      <w:rFonts w:ascii="Arial" w:hAnsi="Arial" w:cs="Arial"/>
      <w:sz w:val="22"/>
      <w:szCs w:val="22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  <w:spacing w:line="264" w:lineRule="auto"/>
    </w:pPr>
    <w:rPr>
      <w:rFonts w:ascii="Arial" w:hAnsi="Arial" w:cs="Arial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851" w:right="567" w:hanging="85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rFonts w:ascii="Arial" w:hAnsi="Arial" w:cs="Arial"/>
      <w:color w:val="4D4D4D"/>
      <w:sz w:val="13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rFonts w:ascii="Arial" w:hAnsi="Arial" w:cs="Arial"/>
      <w:sz w:val="15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2A3D"/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A3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memo">
    <w:name w:val="memo"/>
    <w:basedOn w:val="Normal"/>
    <w:uiPriority w:val="99"/>
    <w:semiHidden/>
    <w:rsid w:val="009314FA"/>
    <w:pPr>
      <w:jc w:val="both"/>
    </w:pPr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cord/consumer_glossary.htm" TargetMode="External"/><Relationship Id="rId13" Type="http://schemas.openxmlformats.org/officeDocument/2006/relationships/hyperlink" Target="http://www.swissre.com/resources/50202e80455c79cfb034ba80a45d76a0-Publ07_Introduction_Reinsurance.pdf%20and%20accessed%202/8/200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ndalink.net/reinsurance/index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wers.com/topic/law-of-large-numb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indalink.net/reinsurance/index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indalink.net/reinsurance/index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51B3-2C7A-4CCC-9462-06ABC99C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2235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2018-09-06T20:17:00Z</dcterms:created>
  <dcterms:modified xsi:type="dcterms:W3CDTF">2018-09-06T20:17:00Z</dcterms:modified>
</cp:coreProperties>
</file>