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631EFE" w:rsidRDefault="00631EFE" w:rsidP="00631EFE">
      <w:pPr>
        <w:jc w:val="center"/>
        <w:rPr>
          <w:b/>
        </w:rPr>
      </w:pPr>
      <w:bookmarkStart w:id="0" w:name="_GoBack"/>
      <w:r w:rsidRPr="00631EFE">
        <w:rPr>
          <w:b/>
        </w:rPr>
        <w:t>ALU 301-10 Endnotes</w:t>
      </w:r>
    </w:p>
    <w:bookmarkEnd w:id="0"/>
    <w:p w:rsidR="00631EFE" w:rsidRDefault="00631EFE" w:rsidP="00631EFE">
      <w:pPr>
        <w:jc w:val="center"/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“NCI Budget and Appropriations”.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Cancer.gov. </w:t>
      </w:r>
      <w:r w:rsidRPr="00FF132D">
        <w:rPr>
          <w:rFonts w:ascii="Times New Roman" w:hAnsi="Times New Roman" w:cs="Times New Roman"/>
          <w:sz w:val="24"/>
          <w:szCs w:val="24"/>
        </w:rPr>
        <w:t>National Cancer Institute, 4 Apr. 2015. Web. 4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Howlader</w:t>
      </w:r>
      <w:proofErr w:type="spellEnd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Nadia, H. M. </w:t>
      </w:r>
      <w:proofErr w:type="spellStart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Noone</w:t>
      </w:r>
      <w:proofErr w:type="spellEnd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M., et al. SEER Cancer Statistics Review, 1975-2012. </w:t>
      </w:r>
      <w:proofErr w:type="gramStart"/>
      <w:r w:rsidRPr="00FF132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seer.cancer.gov</w:t>
      </w:r>
      <w:proofErr w:type="gramEnd"/>
      <w:r w:rsidRPr="00FF132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. </w:t>
      </w:r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National Cancer Institute. Apr. 2015. Web. 10 Sep. 2015.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Takaya, K. L., T.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Yoshimasa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>, H. Arai, N. Tamura, Y. Miyamoto, H. Itoh, K. Nakao.</w:t>
      </w:r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“Expression of the RET proto-oncogene in normal human tissues, </w:t>
      </w:r>
      <w:proofErr w:type="spellStart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pheochromocytomas</w:t>
      </w:r>
      <w:proofErr w:type="spellEnd"/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and other tumors of neural crest origin.” </w:t>
      </w:r>
      <w:hyperlink r:id="rId8" w:tooltip="Journal of molecular medicine (Berlin, Germany)." w:history="1">
        <w:r w:rsidRPr="00FF132D">
          <w:rPr>
            <w:rFonts w:ascii="Times New Roman" w:hAnsi="Times New Roman" w:cs="Times New Roman"/>
            <w:i/>
            <w:color w:val="444444"/>
            <w:sz w:val="24"/>
            <w:szCs w:val="24"/>
            <w:shd w:val="clear" w:color="auto" w:fill="FFFFFF"/>
          </w:rPr>
          <w:t xml:space="preserve">J </w:t>
        </w:r>
        <w:proofErr w:type="spellStart"/>
        <w:r w:rsidRPr="00FF132D">
          <w:rPr>
            <w:rFonts w:ascii="Times New Roman" w:hAnsi="Times New Roman" w:cs="Times New Roman"/>
            <w:i/>
            <w:color w:val="444444"/>
            <w:sz w:val="24"/>
            <w:szCs w:val="24"/>
            <w:shd w:val="clear" w:color="auto" w:fill="FFFFFF"/>
          </w:rPr>
          <w:t>Mol</w:t>
        </w:r>
        <w:proofErr w:type="spellEnd"/>
        <w:r w:rsidRPr="00FF132D">
          <w:rPr>
            <w:rFonts w:ascii="Times New Roman" w:hAnsi="Times New Roman" w:cs="Times New Roman"/>
            <w:i/>
            <w:color w:val="444444"/>
            <w:sz w:val="24"/>
            <w:szCs w:val="24"/>
            <w:shd w:val="clear" w:color="auto" w:fill="FFFFFF"/>
          </w:rPr>
          <w:t xml:space="preserve"> Med (</w:t>
        </w:r>
        <w:proofErr w:type="spellStart"/>
        <w:r w:rsidRPr="00FF132D">
          <w:rPr>
            <w:rFonts w:ascii="Times New Roman" w:hAnsi="Times New Roman" w:cs="Times New Roman"/>
            <w:i/>
            <w:color w:val="444444"/>
            <w:sz w:val="24"/>
            <w:szCs w:val="24"/>
            <w:shd w:val="clear" w:color="auto" w:fill="FFFFFF"/>
          </w:rPr>
          <w:t>Berl</w:t>
        </w:r>
        <w:proofErr w:type="spellEnd"/>
        <w:r w:rsidRPr="00FF132D">
          <w:rPr>
            <w:rFonts w:ascii="Times New Roman" w:hAnsi="Times New Roman" w:cs="Times New Roman"/>
            <w:i/>
            <w:color w:val="444444"/>
            <w:sz w:val="24"/>
            <w:szCs w:val="24"/>
            <w:shd w:val="clear" w:color="auto" w:fill="FFFFFF"/>
          </w:rPr>
          <w:t>)</w:t>
        </w:r>
        <w:r w:rsidRPr="00FF132D">
          <w:rPr>
            <w:rFonts w:ascii="Times New Roman" w:hAnsi="Times New Roman" w:cs="Times New Roman"/>
            <w:color w:val="444444"/>
            <w:sz w:val="24"/>
            <w:szCs w:val="24"/>
            <w:shd w:val="clear" w:color="auto" w:fill="FFFFFF"/>
          </w:rPr>
          <w:t>.</w:t>
        </w:r>
      </w:hyperlink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74.10 (1996): 617-21.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Nagy, Rebecca, Kevin Sweet and Charles Eng. “Highly penetrant hereditary cancer syndromes.” </w:t>
      </w:r>
      <w:r w:rsidRPr="00FF132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Oncogene.</w:t>
      </w:r>
      <w:r w:rsidRPr="00FF132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23.38 (2004): 6445-6470.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Landrigan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Phillip J., William Nicholson,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Yasunsuke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Suzuki and Joseph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Ladou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“The Hazards of Chrysotile Asbestos: A Critical Review.” </w:t>
      </w:r>
      <w:r w:rsidRPr="00FF132D">
        <w:rPr>
          <w:rFonts w:ascii="Times New Roman" w:hAnsi="Times New Roman" w:cs="Times New Roman"/>
          <w:i/>
          <w:sz w:val="24"/>
          <w:szCs w:val="24"/>
        </w:rPr>
        <w:t>Industrial Health.</w:t>
      </w:r>
      <w:r w:rsidRPr="00FF132D">
        <w:rPr>
          <w:rFonts w:ascii="Times New Roman" w:hAnsi="Times New Roman" w:cs="Times New Roman"/>
          <w:sz w:val="24"/>
          <w:szCs w:val="24"/>
        </w:rPr>
        <w:t xml:space="preserve"> 37 (1999): 271-280.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Sittum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M., M.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Buljan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S.O.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Bulic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and D.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Simic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“The mechanisms of UV radiation in the development of malignant melanoma.”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Collegium 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Antrpologicum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132D">
        <w:rPr>
          <w:rFonts w:ascii="Times New Roman" w:hAnsi="Times New Roman" w:cs="Times New Roman"/>
          <w:sz w:val="24"/>
          <w:szCs w:val="24"/>
        </w:rPr>
        <w:t xml:space="preserve">31 .Supplement 1 (2007): 13-16.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“Human papillomavirus (HPV) and cervical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>who.int/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mediacentre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>/factsheets.</w:t>
      </w:r>
      <w:r w:rsidRPr="00FF132D">
        <w:rPr>
          <w:rFonts w:ascii="Times New Roman" w:hAnsi="Times New Roman" w:cs="Times New Roman"/>
          <w:sz w:val="24"/>
          <w:szCs w:val="24"/>
        </w:rPr>
        <w:t xml:space="preserve"> World Health Organization. Mar. 2015. Web. 4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Linguyun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and Xin Wang. “Epstein-Barr Virus-associated lymphoproliferative disorders; experimental and clinical developments.”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International Journal of Clinical Experimental Medicine. </w:t>
      </w:r>
      <w:r w:rsidRPr="00FF132D">
        <w:rPr>
          <w:rFonts w:ascii="Times New Roman" w:hAnsi="Times New Roman" w:cs="Times New Roman"/>
          <w:sz w:val="24"/>
          <w:szCs w:val="24"/>
        </w:rPr>
        <w:t>8.9 (2015): 14656-14671.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Adachi,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Keishi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Kiji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Tamada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“Immune checkpoint blockade opens an avenue of cancer immunotherapy with a potent clinical efficacy.”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Cancer Science. </w:t>
      </w:r>
      <w:r w:rsidRPr="00FF132D">
        <w:rPr>
          <w:rFonts w:ascii="Times New Roman" w:hAnsi="Times New Roman" w:cs="Times New Roman"/>
          <w:sz w:val="24"/>
          <w:szCs w:val="24"/>
        </w:rPr>
        <w:t xml:space="preserve">106(2015): 945-950.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Hiddermann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>, Wolfgang, et al. “Frontline therapy with rituximab added to the combination of cyclophosphamide,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sz w:val="24"/>
          <w:szCs w:val="24"/>
        </w:rPr>
        <w:t>doxorubicin, vincristine, and prednisone (CHOP) significantly improves the outcome for patients with advanced-stage follicular lymphoma compared with therapy with CHOP alone: results of a prospective randomized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sz w:val="24"/>
          <w:szCs w:val="24"/>
        </w:rPr>
        <w:t xml:space="preserve">of the German Low-Grade Lymphoma Study Group. </w:t>
      </w:r>
      <w:r w:rsidRPr="00FF132D">
        <w:rPr>
          <w:rFonts w:ascii="Times New Roman" w:hAnsi="Times New Roman" w:cs="Times New Roman"/>
          <w:i/>
          <w:sz w:val="24"/>
          <w:szCs w:val="24"/>
        </w:rPr>
        <w:t>Blood.</w:t>
      </w:r>
      <w:r w:rsidRPr="00FF132D">
        <w:rPr>
          <w:rFonts w:ascii="Times New Roman" w:hAnsi="Times New Roman" w:cs="Times New Roman"/>
          <w:sz w:val="24"/>
          <w:szCs w:val="24"/>
        </w:rPr>
        <w:t xml:space="preserve"> 106(2005): 3725-3732.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Hartman, JT, M.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Haap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H. G. Kopp and H.P.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Lipp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“Tyrosine kinase inhibitors – a review on pharmacology, metabolism and side effects”. </w:t>
      </w:r>
      <w:r w:rsidRPr="00FF132D">
        <w:rPr>
          <w:rFonts w:ascii="Times New Roman" w:hAnsi="Times New Roman" w:cs="Times New Roman"/>
          <w:i/>
          <w:sz w:val="24"/>
          <w:szCs w:val="24"/>
        </w:rPr>
        <w:t>Current Drug Metabolism</w:t>
      </w:r>
      <w:r w:rsidRPr="00FF132D">
        <w:rPr>
          <w:rFonts w:ascii="Times New Roman" w:hAnsi="Times New Roman" w:cs="Times New Roman"/>
          <w:sz w:val="24"/>
          <w:szCs w:val="24"/>
        </w:rPr>
        <w:t>. 10.5 (2009): 470-481.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Sasaki, K., et al. “Relative survival in patients with chronic-phase chronic myeloid leukemia in the tyrosine-kinase inhibitor era: analysis of patient data from six prospective clinical trials”. </w:t>
      </w:r>
      <w:r w:rsidRPr="00FF132D">
        <w:rPr>
          <w:rFonts w:ascii="Times New Roman" w:hAnsi="Times New Roman" w:cs="Times New Roman"/>
          <w:i/>
          <w:sz w:val="24"/>
          <w:szCs w:val="24"/>
        </w:rPr>
        <w:t>Lancet Haematology.</w:t>
      </w:r>
      <w:r w:rsidRPr="00FF132D">
        <w:rPr>
          <w:rFonts w:ascii="Times New Roman" w:hAnsi="Times New Roman" w:cs="Times New Roman"/>
          <w:sz w:val="24"/>
          <w:szCs w:val="24"/>
        </w:rPr>
        <w:t xml:space="preserve">2.5 (2015): 186-93.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Sandler, Alan, et al. “Paclitaxel-Carboplatin Alone of with Bevacizumab for Non-Small-Cell Lung Cancer”.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New England Journal of Medicine. </w:t>
      </w:r>
      <w:r w:rsidRPr="00FF132D">
        <w:rPr>
          <w:rFonts w:ascii="Times New Roman" w:hAnsi="Times New Roman" w:cs="Times New Roman"/>
          <w:sz w:val="24"/>
          <w:szCs w:val="24"/>
        </w:rPr>
        <w:t>355 (2006): 2542-50.</w:t>
      </w:r>
    </w:p>
    <w:p w:rsidR="00631EFE" w:rsidRPr="00126974" w:rsidRDefault="00631EFE" w:rsidP="00631EFE">
      <w:pPr>
        <w:pStyle w:val="EndnoteText"/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lastRenderedPageBreak/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Kurran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Kevin J., Hollie J.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Pegram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Renier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Brentjens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“Chimeric Antigen Receptors for T cell Immunotherapy: Current Understanding and Future Direction”.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Journal of Genetic Medicine. </w:t>
      </w:r>
      <w:r w:rsidRPr="00FF132D">
        <w:rPr>
          <w:rFonts w:ascii="Times New Roman" w:hAnsi="Times New Roman" w:cs="Times New Roman"/>
          <w:sz w:val="24"/>
          <w:szCs w:val="24"/>
        </w:rPr>
        <w:t xml:space="preserve">14.6 (2012): 405-415.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“SEER Stat Fact Sheets: Lung and Bronchus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>Seer.cancer.gov/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statfacts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/html/lungb.html. </w:t>
      </w:r>
      <w:r w:rsidRPr="00FF132D">
        <w:rPr>
          <w:rFonts w:ascii="Times New Roman" w:hAnsi="Times New Roman" w:cs="Times New Roman"/>
          <w:sz w:val="24"/>
          <w:szCs w:val="24"/>
        </w:rPr>
        <w:t>National Cancer Institute Surveillance, Epidemiology and End Results Program. Apr.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132D">
        <w:rPr>
          <w:rFonts w:ascii="Times New Roman" w:hAnsi="Times New Roman" w:cs="Times New Roman"/>
          <w:sz w:val="24"/>
          <w:szCs w:val="24"/>
        </w:rPr>
        <w:t>. Web. 7 Jan.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132D">
        <w:rPr>
          <w:rFonts w:ascii="Times New Roman" w:hAnsi="Times New Roman" w:cs="Times New Roman"/>
          <w:sz w:val="24"/>
          <w:szCs w:val="24"/>
        </w:rPr>
        <w:t>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“Lung Cancer Risks”.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Lungcancer.org. </w:t>
      </w:r>
      <w:r w:rsidRPr="00FF132D">
        <w:rPr>
          <w:rFonts w:ascii="Times New Roman" w:hAnsi="Times New Roman" w:cs="Times New Roman"/>
          <w:sz w:val="24"/>
          <w:szCs w:val="24"/>
        </w:rPr>
        <w:t xml:space="preserve">lungcancer.org A Program of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CancerCARE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>. Jan. 2016. Web. 7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U.S. Department of Health and Human Services. “The Health Consequences of Smoking: 50 Years of Progress. A Report of the Surgeon General.”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32D">
        <w:rPr>
          <w:rFonts w:ascii="Times New Roman" w:hAnsi="Times New Roman" w:cs="Times New Roman"/>
          <w:sz w:val="24"/>
          <w:szCs w:val="24"/>
        </w:rPr>
        <w:t>Department of Health and Human Services, Centers for Disease Control and Prevention, National Center for Chronic Disease Prevention and Health Promotion, Office on Smoking and Health, 2014.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“Health Risk of Radon”.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Epa.gov. </w:t>
      </w:r>
      <w:r w:rsidRPr="00FF132D">
        <w:rPr>
          <w:rFonts w:ascii="Times New Roman" w:hAnsi="Times New Roman" w:cs="Times New Roman"/>
          <w:sz w:val="24"/>
          <w:szCs w:val="24"/>
        </w:rPr>
        <w:t>EPA- United States Environmental Protection Agency.  Jan. 2016. Web. 7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“Lung Cancer Risk Factors”.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Cancerresearchuk.org. </w:t>
      </w:r>
      <w:r w:rsidRPr="00FF132D">
        <w:rPr>
          <w:rFonts w:ascii="Times New Roman" w:hAnsi="Times New Roman" w:cs="Times New Roman"/>
          <w:sz w:val="24"/>
          <w:szCs w:val="24"/>
        </w:rPr>
        <w:t>Cancer Research UK. 8 Nov. 2013. Web. 7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American Lung Association. “Trends in Lung Cancer Morbidity and Mortality”. American Lung Association Epidemiology and Statistics Unit. Nov. 2014.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Berg, Christine, </w:t>
      </w:r>
      <w:proofErr w:type="gramStart"/>
      <w:r w:rsidRPr="00FF132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F132D">
        <w:rPr>
          <w:rFonts w:ascii="Times New Roman" w:hAnsi="Times New Roman" w:cs="Times New Roman"/>
          <w:sz w:val="24"/>
          <w:szCs w:val="24"/>
        </w:rPr>
        <w:t xml:space="preserve">. al. “Reduced Lung-Cancer Mortality with Low-Dose Computed Tomographic Screening.”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New England Journal of Medicine. </w:t>
      </w:r>
      <w:r w:rsidRPr="00FF132D">
        <w:rPr>
          <w:rFonts w:ascii="Times New Roman" w:hAnsi="Times New Roman" w:cs="Times New Roman"/>
          <w:sz w:val="24"/>
          <w:szCs w:val="24"/>
        </w:rPr>
        <w:t>365.5 (2011): 395-409.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LAG, Young JL, Keel GE, Eisner MP, Lin YD, Horner M-J (editors). “SEER Survival Monograph: Cancer Survival Among Adults: U.S. SEER Program, 1988-2001, Patient and Tumor Characteristics”. National Cancer Institute, SEER Program, NIH Pub. No. 07-6215, Bethesda, MD, 2007.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Comprehensive Cancer Network. “NCCN Clinical Practice Guidelines in Oncology - Non-Small Cell Lung Cancer” version 1.2016. 10/23/15.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American Cancer Society. “Cancer Facts &amp; Figures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132D">
        <w:rPr>
          <w:rFonts w:ascii="Times New Roman" w:hAnsi="Times New Roman" w:cs="Times New Roman"/>
          <w:sz w:val="24"/>
          <w:szCs w:val="24"/>
        </w:rPr>
        <w:t>.” American Cancer Society.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132D">
        <w:rPr>
          <w:rFonts w:ascii="Times New Roman" w:hAnsi="Times New Roman" w:cs="Times New Roman"/>
          <w:sz w:val="24"/>
          <w:szCs w:val="24"/>
        </w:rPr>
        <w:t>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“SEER Stat Fact Sheets: Pancreas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>Seer.cancer.gov/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statfacts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/html/pancreas.html. </w:t>
      </w:r>
      <w:r w:rsidRPr="00FF132D">
        <w:rPr>
          <w:rFonts w:ascii="Times New Roman" w:hAnsi="Times New Roman" w:cs="Times New Roman"/>
          <w:sz w:val="24"/>
          <w:szCs w:val="24"/>
        </w:rPr>
        <w:t>National Cancer Institute Surveillance, Epidemiology and End Results Program. Apr. 2015. Web. 7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lastRenderedPageBreak/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Tanaka, Masao, et al. “International consensus guidelines 2012 for the management of IPMN and MCH of the pancreas”. 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Pancreatology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132D">
        <w:rPr>
          <w:rFonts w:ascii="Times New Roman" w:hAnsi="Times New Roman" w:cs="Times New Roman"/>
          <w:sz w:val="24"/>
          <w:szCs w:val="24"/>
        </w:rPr>
        <w:t>12 (2012): 186-197.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Edge, Stephen B. (editor). “AJCC Cancer Staging Manual”, seventh edition. American Joint Committee on Cancer. 2010.</w:t>
      </w:r>
    </w:p>
    <w:p w:rsidR="00631EFE" w:rsidRDefault="00631EFE" w:rsidP="00631EFE">
      <w:pPr>
        <w:pStyle w:val="EndnoteText"/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Extra space below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ACS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Seray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Hashem B. and Jessica A. Davila. “Surveillance for hepatocellular carcinoma: in whom and how?”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Therapeutic Advances in Gastroenterology. </w:t>
      </w:r>
      <w:r w:rsidRPr="00FF132D">
        <w:rPr>
          <w:rFonts w:ascii="Times New Roman" w:hAnsi="Times New Roman" w:cs="Times New Roman"/>
          <w:sz w:val="24"/>
          <w:szCs w:val="24"/>
        </w:rPr>
        <w:t xml:space="preserve">4.1(2011): 5-10.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Ribero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D., S.A. Curley, H. Imamura, et al. “Selection for resection of hepatocellular carcinoma and surgical strategy: indications for resection, evaluation of liver function, portal vein embolization, and resection.”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Annals of Surgical Oncology. </w:t>
      </w:r>
      <w:r w:rsidRPr="00FF132D">
        <w:rPr>
          <w:rFonts w:ascii="Times New Roman" w:hAnsi="Times New Roman" w:cs="Times New Roman"/>
          <w:sz w:val="24"/>
          <w:szCs w:val="24"/>
        </w:rPr>
        <w:t>15(2008): 986-992.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Comprehensive Cancer Network. “NCCN Clinical Practice Guidelines in Oncology – Hepatobiliary Cancers” version 2.2015. 2/6/15.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“SEER Stat Fact Sheets: Liver and Intrahepatic Bile Duct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>Seer.cancer.gov/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statfacts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/html/livibd.html. </w:t>
      </w:r>
      <w:r w:rsidRPr="00FF132D">
        <w:rPr>
          <w:rFonts w:ascii="Times New Roman" w:hAnsi="Times New Roman" w:cs="Times New Roman"/>
          <w:sz w:val="24"/>
          <w:szCs w:val="24"/>
        </w:rPr>
        <w:t>National Cancer Institute Surveillance, Epidemiology and End Results Program. Apr. 2015. Web. 10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(Edge).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(NCCN).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ACS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Hashibe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>, Mia, Paul Brennan, Shu-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Chuang, et al. “Interaction between Tobacco and Alcohol Use and the Risk of Head and Neck Cancer: Pooled Analysis in the International Head and Neck Cancer Epidemiology Consortium.” </w:t>
      </w:r>
      <w:r w:rsidRPr="00FF132D">
        <w:rPr>
          <w:rFonts w:ascii="Times New Roman" w:hAnsi="Times New Roman" w:cs="Times New Roman"/>
          <w:i/>
          <w:sz w:val="24"/>
          <w:szCs w:val="24"/>
        </w:rPr>
        <w:t>Cancer Epidemiology Biomarkers and Prevention.</w:t>
      </w:r>
      <w:r w:rsidRPr="00FF132D">
        <w:rPr>
          <w:rFonts w:ascii="Times New Roman" w:hAnsi="Times New Roman" w:cs="Times New Roman"/>
          <w:sz w:val="24"/>
          <w:szCs w:val="24"/>
        </w:rPr>
        <w:t xml:space="preserve"> 182.2(2009): 541-550.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Brown, L.M., D.P. Check and S.S.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Devesa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.” Oral cavity and pharynx cancer incidence trends by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subsite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in the United States: changing gender patterns.” </w:t>
      </w:r>
      <w:r w:rsidRPr="00FF132D">
        <w:rPr>
          <w:rFonts w:ascii="Times New Roman" w:hAnsi="Times New Roman" w:cs="Times New Roman"/>
          <w:i/>
          <w:sz w:val="24"/>
          <w:szCs w:val="24"/>
        </w:rPr>
        <w:t>Journal of Oncology</w:t>
      </w:r>
      <w:r w:rsidRPr="00FF132D">
        <w:rPr>
          <w:rFonts w:ascii="Times New Roman" w:hAnsi="Times New Roman" w:cs="Times New Roman"/>
          <w:sz w:val="24"/>
          <w:szCs w:val="24"/>
        </w:rPr>
        <w:t>. 2012(2012):6494-98.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Vokes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Everett E.,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Nishant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Agrawal and Tanguy Y.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Seiwert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“HPV-Associated Head and Neck Cancer”. </w:t>
      </w:r>
      <w:r w:rsidRPr="00FF132D">
        <w:rPr>
          <w:rFonts w:ascii="Times New Roman" w:hAnsi="Times New Roman" w:cs="Times New Roman"/>
          <w:i/>
          <w:sz w:val="24"/>
          <w:szCs w:val="24"/>
        </w:rPr>
        <w:t>JNCI: Journal of the National Cancer Institute.</w:t>
      </w:r>
      <w:r w:rsidRPr="00FF132D">
        <w:rPr>
          <w:rFonts w:ascii="Times New Roman" w:hAnsi="Times New Roman" w:cs="Times New Roman"/>
          <w:sz w:val="24"/>
          <w:szCs w:val="24"/>
        </w:rPr>
        <w:t xml:space="preserve"> 107.12(2015): 1-7.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Comprehensive Cancer Network. “NCCN Clinical Practice Guidelines in Oncology – Head and Neck Cancers” version 1.2015. 5/12/15.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ACS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AJCC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Comprehensive Cancer Network. “NCCN Clinical Practice Guidelines in Oncology – Thyroid Carcinoma” version 2.2015. 7/29/15.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Ries</w:t>
      </w:r>
      <w:proofErr w:type="spellEnd"/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Moyer, VA. “Screening for Prostate Cancer: US Preventive Services Task Force recommendation statement.”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 Annals of Internal Medicine</w:t>
      </w:r>
      <w:r w:rsidRPr="00FF132D">
        <w:rPr>
          <w:rFonts w:ascii="Times New Roman" w:hAnsi="Times New Roman" w:cs="Times New Roman"/>
          <w:sz w:val="24"/>
          <w:szCs w:val="24"/>
        </w:rPr>
        <w:t>. 157.2(2012): 120-134.</w:t>
      </w:r>
    </w:p>
    <w:p w:rsidR="00631EFE" w:rsidRPr="00EC7F8F" w:rsidRDefault="00631EFE" w:rsidP="00631EFE">
      <w:pPr>
        <w:pStyle w:val="EndnoteText"/>
      </w:pPr>
    </w:p>
    <w:p w:rsidR="00631EFE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Fakih, Marwan G. and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Aruna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Padmanabhan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. “CEA Monitoring in Colorectal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Oncology (Williston Park). </w:t>
      </w:r>
      <w:r w:rsidRPr="00FF132D">
        <w:rPr>
          <w:rFonts w:ascii="Times New Roman" w:hAnsi="Times New Roman" w:cs="Times New Roman"/>
          <w:sz w:val="24"/>
          <w:szCs w:val="24"/>
        </w:rPr>
        <w:t>20.6 (2006): 579-587.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Mikkleson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Barbara. “CA-125”.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Snopes.com/medical/disease/ca125.asp. </w:t>
      </w:r>
      <w:r w:rsidRPr="00FF132D">
        <w:rPr>
          <w:rFonts w:ascii="Times New Roman" w:hAnsi="Times New Roman" w:cs="Times New Roman"/>
          <w:sz w:val="24"/>
          <w:szCs w:val="24"/>
        </w:rPr>
        <w:t>11 Mar. 2009. Web. 14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Tang, Taylor. “Questions and Answers about the CA-125 Test.”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Johns Hopkins Pathology, Ovarian Cancer. </w:t>
      </w:r>
      <w:r w:rsidRPr="00FF132D">
        <w:rPr>
          <w:rFonts w:ascii="Times New Roman" w:hAnsi="Times New Roman" w:cs="Times New Roman"/>
          <w:sz w:val="24"/>
          <w:szCs w:val="24"/>
        </w:rPr>
        <w:t xml:space="preserve">8 Aug. 2003. Web. 14 Jan. 2016.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Ibid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2D">
        <w:rPr>
          <w:rFonts w:ascii="Times New Roman" w:hAnsi="Times New Roman" w:cs="Times New Roman"/>
          <w:sz w:val="24"/>
          <w:szCs w:val="24"/>
        </w:rPr>
        <w:t xml:space="preserve"> Edge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Boeck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S. P. Stieber, S. </w:t>
      </w:r>
      <w:proofErr w:type="spellStart"/>
      <w:r w:rsidRPr="00FF132D">
        <w:rPr>
          <w:rFonts w:ascii="Times New Roman" w:hAnsi="Times New Roman" w:cs="Times New Roman"/>
          <w:sz w:val="24"/>
          <w:szCs w:val="24"/>
        </w:rPr>
        <w:t>Holdenrieder</w:t>
      </w:r>
      <w:proofErr w:type="spellEnd"/>
      <w:r w:rsidRPr="00FF132D">
        <w:rPr>
          <w:rFonts w:ascii="Times New Roman" w:hAnsi="Times New Roman" w:cs="Times New Roman"/>
          <w:sz w:val="24"/>
          <w:szCs w:val="24"/>
        </w:rPr>
        <w:t xml:space="preserve">, et al. “Prognostic and therapeutic significance of carbohydrate antigen 19-9 as tumor marker in patients with pancreatic cancer.”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Oncology </w:t>
      </w:r>
      <w:r w:rsidRPr="00FF132D">
        <w:rPr>
          <w:rFonts w:ascii="Times New Roman" w:hAnsi="Times New Roman" w:cs="Times New Roman"/>
          <w:sz w:val="24"/>
          <w:szCs w:val="24"/>
        </w:rPr>
        <w:t xml:space="preserve">70.4(2006). 255-264. 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Cancer Institute. “Tumor Markers”. </w:t>
      </w:r>
      <w:r w:rsidRPr="00FF132D">
        <w:rPr>
          <w:rFonts w:ascii="Times New Roman" w:hAnsi="Times New Roman" w:cs="Times New Roman"/>
          <w:i/>
          <w:sz w:val="24"/>
          <w:szCs w:val="24"/>
        </w:rPr>
        <w:t xml:space="preserve">Cancer.gov/about-cancer/diagnosis-staging/diagnosis/tumor-markers-fact-sheet. </w:t>
      </w:r>
      <w:r w:rsidRPr="00FF132D">
        <w:rPr>
          <w:rFonts w:ascii="Times New Roman" w:hAnsi="Times New Roman" w:cs="Times New Roman"/>
          <w:sz w:val="24"/>
          <w:szCs w:val="24"/>
        </w:rPr>
        <w:t>4 Nov. 2015. Web. 14 Jan. 2016.</w:t>
      </w: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1EFE" w:rsidRPr="00FF132D" w:rsidRDefault="00631EFE" w:rsidP="00631EF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F132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FF132D">
        <w:rPr>
          <w:rFonts w:ascii="Times New Roman" w:hAnsi="Times New Roman" w:cs="Times New Roman"/>
          <w:sz w:val="24"/>
          <w:szCs w:val="24"/>
        </w:rPr>
        <w:t xml:space="preserve"> National Cancer Institute. “Fast Stats”. </w:t>
      </w:r>
      <w:r w:rsidRPr="00FF132D">
        <w:rPr>
          <w:rFonts w:ascii="Times New Roman" w:hAnsi="Times New Roman" w:cs="Times New Roman"/>
          <w:i/>
          <w:sz w:val="24"/>
          <w:szCs w:val="24"/>
        </w:rPr>
        <w:t>Seer.cancer.gov/</w:t>
      </w:r>
      <w:proofErr w:type="spellStart"/>
      <w:r w:rsidRPr="00FF132D">
        <w:rPr>
          <w:rFonts w:ascii="Times New Roman" w:hAnsi="Times New Roman" w:cs="Times New Roman"/>
          <w:i/>
          <w:sz w:val="24"/>
          <w:szCs w:val="24"/>
        </w:rPr>
        <w:t>faststats</w:t>
      </w:r>
      <w:proofErr w:type="spellEnd"/>
      <w:r w:rsidRPr="00FF13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132D">
        <w:rPr>
          <w:rFonts w:ascii="Times New Roman" w:hAnsi="Times New Roman" w:cs="Times New Roman"/>
          <w:sz w:val="24"/>
          <w:szCs w:val="24"/>
        </w:rPr>
        <w:t>National Institutes of Health. Web. 16 Jan. 2016.</w:t>
      </w:r>
    </w:p>
    <w:p w:rsidR="00631EFE" w:rsidRDefault="00631EFE" w:rsidP="00631EFE">
      <w:pPr>
        <w:pStyle w:val="EndnoteText"/>
        <w:rPr>
          <w:rFonts w:ascii="Times New Roman" w:eastAsia="Times New Roman" w:hAnsi="Times New Roman" w:cs="Times New Roman"/>
          <w:sz w:val="24"/>
          <w:szCs w:val="24"/>
        </w:rPr>
      </w:pPr>
    </w:p>
    <w:p w:rsidR="00631EFE" w:rsidRDefault="00631EFE" w:rsidP="00631EFE">
      <w:pPr>
        <w:pStyle w:val="EndnoteText"/>
        <w:rPr>
          <w:rFonts w:ascii="Times New Roman" w:eastAsia="Times New Roman" w:hAnsi="Times New Roman" w:cs="Times New Roman"/>
          <w:sz w:val="24"/>
          <w:szCs w:val="24"/>
        </w:rPr>
      </w:pPr>
    </w:p>
    <w:p w:rsidR="00631EFE" w:rsidRDefault="00631EFE" w:rsidP="00631EFE">
      <w:pPr>
        <w:pStyle w:val="EndnoteText"/>
        <w:rPr>
          <w:rFonts w:ascii="Times New Roman" w:eastAsia="Times New Roman" w:hAnsi="Times New Roman" w:cs="Times New Roman"/>
          <w:sz w:val="24"/>
          <w:szCs w:val="24"/>
        </w:rPr>
      </w:pPr>
    </w:p>
    <w:p w:rsidR="00631EFE" w:rsidRPr="00C70C30" w:rsidRDefault="00631EFE" w:rsidP="00631EFE">
      <w:pPr>
        <w:jc w:val="center"/>
      </w:pPr>
    </w:p>
    <w:sectPr w:rsidR="00631EFE" w:rsidRPr="00C70C30" w:rsidSect="00C25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0E" w:rsidRDefault="002D590E" w:rsidP="007C3ACB">
      <w:pPr>
        <w:spacing w:line="240" w:lineRule="auto"/>
      </w:pPr>
      <w:r>
        <w:separator/>
      </w:r>
    </w:p>
  </w:endnote>
  <w:endnote w:type="continuationSeparator" w:id="0">
    <w:p w:rsidR="002D590E" w:rsidRDefault="002D590E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0E" w:rsidRDefault="002D590E" w:rsidP="007C3ACB">
      <w:pPr>
        <w:spacing w:line="240" w:lineRule="auto"/>
      </w:pPr>
      <w:r>
        <w:separator/>
      </w:r>
    </w:p>
  </w:footnote>
  <w:footnote w:type="continuationSeparator" w:id="0">
    <w:p w:rsidR="002D590E" w:rsidRDefault="002D590E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E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D590E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31EFE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A2F9"/>
  <w15:chartTrackingRefBased/>
  <w15:docId w15:val="{D508D075-6BAF-4F5A-8530-F8ADD24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uiPriority w:val="99"/>
    <w:unhideWhenUsed/>
    <w:rsid w:val="00631EF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1EFE"/>
    <w:rPr>
      <w:rFonts w:eastAsiaTheme="minorHAns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1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891218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42A5-1EB8-4DFC-83D8-F7E6EDA5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6804</Characters>
  <Application>Microsoft Office Word</Application>
  <DocSecurity>0</DocSecurity>
  <Lines>56</Lines>
  <Paragraphs>15</Paragraphs>
  <ScaleCrop>false</ScaleCrop>
  <Company>Hannover Rück SE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2019-03-08T03:52:00Z</dcterms:created>
  <dcterms:modified xsi:type="dcterms:W3CDTF">2019-03-08T03:53:00Z</dcterms:modified>
</cp:coreProperties>
</file>