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30" w:rsidRPr="006C5965" w:rsidRDefault="006C5965" w:rsidP="006C5965">
      <w:pPr>
        <w:jc w:val="center"/>
        <w:rPr>
          <w:b/>
        </w:rPr>
      </w:pPr>
      <w:r w:rsidRPr="006C5965">
        <w:rPr>
          <w:b/>
        </w:rPr>
        <w:t xml:space="preserve">ALU 201 Chapter 3 Endnotes </w:t>
      </w:r>
    </w:p>
    <w:p w:rsidR="006C5965" w:rsidRDefault="006C5965" w:rsidP="006C5965">
      <w:pPr>
        <w:jc w:val="center"/>
      </w:pPr>
    </w:p>
    <w:p w:rsidR="006C5965" w:rsidRPr="00F012D4" w:rsidRDefault="006C5965" w:rsidP="006C5965">
      <w:pPr>
        <w:rPr>
          <w:color w:val="00B0F0"/>
        </w:rPr>
      </w:pPr>
      <w:r w:rsidRPr="00F012D4">
        <w:rPr>
          <w:color w:val="00B0F0"/>
        </w:rPr>
        <w:t>Breast Cancer:</w:t>
      </w:r>
    </w:p>
    <w:p w:rsidR="006C5965" w:rsidRDefault="006C5965" w:rsidP="006C5965"/>
    <w:p w:rsidR="006C5965" w:rsidRPr="00740D9E" w:rsidRDefault="006C5965" w:rsidP="006C5965">
      <w:pPr>
        <w:pStyle w:val="EndnoteText"/>
        <w:jc w:val="center"/>
        <w:rPr>
          <w:b/>
        </w:rPr>
      </w:pPr>
      <w:r w:rsidRPr="00740D9E">
        <w:rPr>
          <w:b/>
        </w:rPr>
        <w:t>Endnotes – Breast Cancer</w:t>
      </w:r>
    </w:p>
    <w:p w:rsidR="006C5965" w:rsidRDefault="006C5965" w:rsidP="006C5965">
      <w:pPr>
        <w:pStyle w:val="EndnoteText"/>
      </w:pPr>
    </w:p>
    <w:p w:rsidR="006C5965" w:rsidRPr="00D01CE5" w:rsidRDefault="006C5965" w:rsidP="006C5965">
      <w:pPr>
        <w:pStyle w:val="EndnoteText"/>
      </w:pPr>
      <w:r>
        <w:rPr>
          <w:rStyle w:val="EndnoteReference"/>
          <w:rFonts w:eastAsiaTheme="majorEastAsia"/>
        </w:rPr>
        <w:footnoteRef/>
      </w:r>
      <w:r>
        <w:t xml:space="preserve"> </w:t>
      </w:r>
      <w:proofErr w:type="spellStart"/>
      <w:r w:rsidRPr="00D01CE5">
        <w:t>Abeloff</w:t>
      </w:r>
      <w:proofErr w:type="spellEnd"/>
      <w:r w:rsidRPr="00D01CE5">
        <w:t xml:space="preserve"> MD, Wolff AC, et al., ”Cancer of the Breast” in </w:t>
      </w:r>
      <w:proofErr w:type="spellStart"/>
      <w:r w:rsidRPr="00D01CE5">
        <w:t>Abeloff</w:t>
      </w:r>
      <w:proofErr w:type="spellEnd"/>
      <w:r w:rsidRPr="00D01CE5">
        <w:t xml:space="preserve"> MD, Armitage JO et al, eds. </w:t>
      </w:r>
      <w:r w:rsidRPr="00D01CE5">
        <w:rPr>
          <w:i/>
        </w:rPr>
        <w:t>Clinical Oncology</w:t>
      </w:r>
      <w:r w:rsidRPr="00D01CE5">
        <w:t>, 3</w:t>
      </w:r>
      <w:r w:rsidRPr="00D01CE5">
        <w:rPr>
          <w:vertAlign w:val="superscript"/>
        </w:rPr>
        <w:t>rd</w:t>
      </w:r>
      <w:r w:rsidRPr="00D01CE5">
        <w:t xml:space="preserve"> ed., Elsevier, Churchill Livingstone.</w:t>
      </w:r>
    </w:p>
    <w:p w:rsidR="006C5965" w:rsidRPr="00D01CE5" w:rsidRDefault="006C5965" w:rsidP="006C5965">
      <w:pPr>
        <w:pStyle w:val="EndnoteText"/>
      </w:pPr>
    </w:p>
    <w:p w:rsidR="006C5965" w:rsidRPr="00BB04BA" w:rsidRDefault="006C5965" w:rsidP="006C5965">
      <w:pPr>
        <w:pStyle w:val="EndnoteText"/>
        <w:rPr>
          <w:lang w:val="en-US"/>
        </w:rPr>
      </w:pPr>
      <w:r w:rsidRPr="00D01CE5">
        <w:rPr>
          <w:rStyle w:val="EndnoteReference"/>
          <w:rFonts w:eastAsiaTheme="majorEastAsia"/>
        </w:rPr>
        <w:footnoteRef/>
      </w:r>
      <w:r w:rsidRPr="00D01CE5">
        <w:t xml:space="preserve"> Siegel R, </w:t>
      </w:r>
      <w:r>
        <w:rPr>
          <w:lang w:val="en-US"/>
        </w:rPr>
        <w:t>Miller KD</w:t>
      </w:r>
      <w:r w:rsidRPr="00D01CE5">
        <w:t xml:space="preserve">, </w:t>
      </w:r>
      <w:proofErr w:type="spellStart"/>
      <w:r w:rsidRPr="00D01CE5">
        <w:t>Jemal</w:t>
      </w:r>
      <w:proofErr w:type="spellEnd"/>
      <w:r w:rsidRPr="00D01CE5">
        <w:t xml:space="preserve"> A, “Cancer Statistics, 201</w:t>
      </w:r>
      <w:r w:rsidRPr="009370A5">
        <w:t>9;0:1–28.2015; 65:5-29.</w:t>
      </w:r>
    </w:p>
    <w:p w:rsidR="006C5965" w:rsidRPr="00D01CE5" w:rsidRDefault="006C5965" w:rsidP="006C5965">
      <w:pPr>
        <w:pStyle w:val="EndnoteText"/>
      </w:pPr>
    </w:p>
    <w:p w:rsidR="006C5965" w:rsidRPr="00D01CE5" w:rsidRDefault="006C5965" w:rsidP="006C5965">
      <w:pPr>
        <w:pStyle w:val="EndnoteText"/>
      </w:pPr>
      <w:r w:rsidRPr="00D01CE5">
        <w:rPr>
          <w:rStyle w:val="EndnoteReference"/>
          <w:rFonts w:eastAsiaTheme="majorEastAsia"/>
        </w:rPr>
        <w:footnoteRef/>
      </w:r>
      <w:r w:rsidRPr="00D01CE5">
        <w:t xml:space="preserve"> Cancer Facts &amp; Figures 2009-2010, American Cancer Society, Inc.</w:t>
      </w:r>
    </w:p>
    <w:p w:rsidR="006C5965" w:rsidRPr="00D01CE5" w:rsidRDefault="006C5965" w:rsidP="006C5965">
      <w:pPr>
        <w:pStyle w:val="EndnoteText"/>
      </w:pPr>
    </w:p>
    <w:p w:rsidR="006C5965" w:rsidRPr="00D01CE5" w:rsidRDefault="006C5965" w:rsidP="006C5965">
      <w:pPr>
        <w:rPr>
          <w:sz w:val="20"/>
          <w:szCs w:val="20"/>
        </w:rPr>
      </w:pPr>
      <w:r w:rsidRPr="00D01CE5">
        <w:rPr>
          <w:rStyle w:val="EndnoteReference"/>
          <w:rFonts w:eastAsiaTheme="majorEastAsia"/>
          <w:szCs w:val="20"/>
        </w:rPr>
        <w:footnoteRef/>
      </w:r>
      <w:r w:rsidRPr="00D01CE5">
        <w:rPr>
          <w:sz w:val="20"/>
          <w:szCs w:val="20"/>
        </w:rPr>
        <w:t xml:space="preserve"> </w:t>
      </w:r>
      <w:proofErr w:type="spellStart"/>
      <w:r w:rsidRPr="00BB6E34">
        <w:rPr>
          <w:sz w:val="20"/>
          <w:szCs w:val="20"/>
        </w:rPr>
        <w:t>Howlader</w:t>
      </w:r>
      <w:proofErr w:type="spellEnd"/>
      <w:r w:rsidRPr="00BB6E34">
        <w:rPr>
          <w:sz w:val="20"/>
          <w:szCs w:val="20"/>
        </w:rPr>
        <w:t xml:space="preserve"> N, </w:t>
      </w:r>
      <w:proofErr w:type="spellStart"/>
      <w:r w:rsidRPr="00BB6E34">
        <w:rPr>
          <w:sz w:val="20"/>
          <w:szCs w:val="20"/>
        </w:rPr>
        <w:t>Noone</w:t>
      </w:r>
      <w:proofErr w:type="spellEnd"/>
      <w:r w:rsidRPr="00BB6E34">
        <w:rPr>
          <w:sz w:val="20"/>
          <w:szCs w:val="20"/>
        </w:rPr>
        <w:t xml:space="preserve"> AM, </w:t>
      </w:r>
      <w:proofErr w:type="spellStart"/>
      <w:r w:rsidRPr="00BB6E34">
        <w:rPr>
          <w:sz w:val="20"/>
          <w:szCs w:val="20"/>
        </w:rPr>
        <w:t>Krapcho</w:t>
      </w:r>
      <w:proofErr w:type="spellEnd"/>
      <w:r w:rsidRPr="00BB6E34">
        <w:rPr>
          <w:sz w:val="20"/>
          <w:szCs w:val="20"/>
        </w:rPr>
        <w:t xml:space="preserve"> M, </w:t>
      </w:r>
      <w:proofErr w:type="spellStart"/>
      <w:r w:rsidRPr="00BB6E34">
        <w:rPr>
          <w:sz w:val="20"/>
          <w:szCs w:val="20"/>
        </w:rPr>
        <w:t>Garshell</w:t>
      </w:r>
      <w:proofErr w:type="spellEnd"/>
      <w:r w:rsidRPr="00BB6E34">
        <w:rPr>
          <w:sz w:val="20"/>
          <w:szCs w:val="20"/>
        </w:rPr>
        <w:t xml:space="preserve"> J, Miller D, </w:t>
      </w:r>
      <w:proofErr w:type="spellStart"/>
      <w:r w:rsidRPr="00BB6E34">
        <w:rPr>
          <w:sz w:val="20"/>
          <w:szCs w:val="20"/>
        </w:rPr>
        <w:t>Altekruse</w:t>
      </w:r>
      <w:proofErr w:type="spellEnd"/>
      <w:r w:rsidRPr="00BB6E34">
        <w:rPr>
          <w:sz w:val="20"/>
          <w:szCs w:val="20"/>
        </w:rPr>
        <w:t xml:space="preserve"> SF, </w:t>
      </w:r>
      <w:proofErr w:type="spellStart"/>
      <w:r w:rsidRPr="00BB6E34">
        <w:rPr>
          <w:sz w:val="20"/>
          <w:szCs w:val="20"/>
        </w:rPr>
        <w:t>Kosary</w:t>
      </w:r>
      <w:proofErr w:type="spellEnd"/>
      <w:r w:rsidRPr="00BB6E34">
        <w:rPr>
          <w:sz w:val="20"/>
          <w:szCs w:val="20"/>
        </w:rPr>
        <w:t xml:space="preserve"> CL, Yu M, </w:t>
      </w:r>
      <w:proofErr w:type="spellStart"/>
      <w:r w:rsidRPr="00BB6E34">
        <w:rPr>
          <w:sz w:val="20"/>
          <w:szCs w:val="20"/>
        </w:rPr>
        <w:t>Ruhl</w:t>
      </w:r>
      <w:proofErr w:type="spellEnd"/>
      <w:r w:rsidRPr="00BB6E34">
        <w:rPr>
          <w:sz w:val="20"/>
          <w:szCs w:val="20"/>
        </w:rPr>
        <w:t xml:space="preserve"> J, </w:t>
      </w:r>
      <w:proofErr w:type="spellStart"/>
      <w:r w:rsidRPr="00BB6E34">
        <w:rPr>
          <w:sz w:val="20"/>
          <w:szCs w:val="20"/>
        </w:rPr>
        <w:t>Tatalovich</w:t>
      </w:r>
      <w:proofErr w:type="spellEnd"/>
      <w:r w:rsidRPr="00BB6E34">
        <w:rPr>
          <w:sz w:val="20"/>
          <w:szCs w:val="20"/>
        </w:rPr>
        <w:t xml:space="preserve"> Z,</w:t>
      </w:r>
      <w:r>
        <w:rPr>
          <w:sz w:val="20"/>
          <w:szCs w:val="20"/>
        </w:rPr>
        <w:t xml:space="preserve"> </w:t>
      </w:r>
      <w:proofErr w:type="spellStart"/>
      <w:r w:rsidRPr="00BB6E34">
        <w:rPr>
          <w:sz w:val="20"/>
          <w:szCs w:val="20"/>
        </w:rPr>
        <w:t>Mariotto</w:t>
      </w:r>
      <w:proofErr w:type="spellEnd"/>
      <w:r w:rsidRPr="00BB6E34">
        <w:rPr>
          <w:sz w:val="20"/>
          <w:szCs w:val="20"/>
        </w:rPr>
        <w:t xml:space="preserve"> A, Lewis DR, Chen HS, </w:t>
      </w:r>
      <w:proofErr w:type="spellStart"/>
      <w:r w:rsidRPr="00BB6E34">
        <w:rPr>
          <w:sz w:val="20"/>
          <w:szCs w:val="20"/>
        </w:rPr>
        <w:t>Feuer</w:t>
      </w:r>
      <w:proofErr w:type="spellEnd"/>
      <w:r w:rsidRPr="00BB6E34">
        <w:rPr>
          <w:sz w:val="20"/>
          <w:szCs w:val="20"/>
        </w:rPr>
        <w:t xml:space="preserve"> EJ, Cronin KA (</w:t>
      </w:r>
      <w:proofErr w:type="spellStart"/>
      <w:r w:rsidRPr="00BB6E34">
        <w:rPr>
          <w:sz w:val="20"/>
          <w:szCs w:val="20"/>
        </w:rPr>
        <w:t>eds</w:t>
      </w:r>
      <w:proofErr w:type="spellEnd"/>
      <w:r w:rsidRPr="00BB6E34">
        <w:rPr>
          <w:sz w:val="20"/>
          <w:szCs w:val="20"/>
        </w:rPr>
        <w:t xml:space="preserve">). SEER Cancer Statistics Review, 1975-2012, National Cancer Institute. Bethesda, MD, </w:t>
      </w:r>
      <w:hyperlink r:id="rId8" w:history="1">
        <w:r w:rsidRPr="00BB6E34">
          <w:rPr>
            <w:sz w:val="20"/>
            <w:szCs w:val="20"/>
          </w:rPr>
          <w:t>http://seer.cancer.gov/csr/1975_2012/</w:t>
        </w:r>
      </w:hyperlink>
      <w:r w:rsidRPr="00BB6E34">
        <w:rPr>
          <w:sz w:val="20"/>
          <w:szCs w:val="20"/>
        </w:rPr>
        <w:t>, based on November 2014 SEER data submission, posted to the SEER web site, April 2015</w:t>
      </w:r>
      <w:r>
        <w:rPr>
          <w:rFonts w:ascii="Lucida Sans Unicode" w:hAnsi="Lucida Sans Unicode" w:cs="Lucida Sans Unicode"/>
          <w:color w:val="444444"/>
          <w:sz w:val="19"/>
          <w:szCs w:val="19"/>
        </w:rPr>
        <w:t>.</w:t>
      </w:r>
    </w:p>
    <w:p w:rsidR="006C5965" w:rsidRPr="00D01CE5" w:rsidRDefault="006C5965" w:rsidP="006C5965">
      <w:pPr>
        <w:rPr>
          <w:sz w:val="20"/>
          <w:szCs w:val="20"/>
        </w:rPr>
      </w:pPr>
    </w:p>
    <w:p w:rsidR="006C5965" w:rsidRPr="00D01CE5" w:rsidRDefault="006C5965" w:rsidP="006C5965">
      <w:pPr>
        <w:pStyle w:val="EndnoteText"/>
      </w:pPr>
      <w:r w:rsidRPr="00D01CE5">
        <w:rPr>
          <w:rStyle w:val="EndnoteReference"/>
          <w:rFonts w:eastAsiaTheme="majorEastAsia"/>
        </w:rPr>
        <w:footnoteRef/>
      </w:r>
      <w:r w:rsidRPr="00D01CE5">
        <w:t xml:space="preserve"> </w:t>
      </w:r>
      <w:proofErr w:type="spellStart"/>
      <w:r w:rsidRPr="00D01CE5">
        <w:t>Jatoi</w:t>
      </w:r>
      <w:proofErr w:type="spellEnd"/>
      <w:r w:rsidRPr="00D01CE5">
        <w:t>, Ismail, Miller AB, “Why is Breast-Cancer Mortality Declining?, Lancet Oncology, 2003; 4:251-4.</w:t>
      </w:r>
    </w:p>
    <w:p w:rsidR="006C5965" w:rsidRPr="00D01CE5" w:rsidRDefault="006C5965" w:rsidP="006C5965">
      <w:pPr>
        <w:pStyle w:val="EndnoteText"/>
      </w:pPr>
    </w:p>
    <w:p w:rsidR="006C5965" w:rsidRPr="00D01CE5" w:rsidRDefault="006C5965" w:rsidP="006C5965">
      <w:pPr>
        <w:pStyle w:val="EndnoteText"/>
      </w:pPr>
      <w:r w:rsidRPr="00D01CE5">
        <w:rPr>
          <w:rStyle w:val="EndnoteReference"/>
          <w:rFonts w:eastAsiaTheme="majorEastAsia"/>
        </w:rPr>
        <w:footnoteRef/>
      </w:r>
      <w:r w:rsidRPr="00D01CE5">
        <w:t xml:space="preserve"> Hartmann LC, Seller TA, et al., “Benign Breast Disease and the Risk of Breast Cancer”, N </w:t>
      </w:r>
      <w:proofErr w:type="spellStart"/>
      <w:r w:rsidRPr="00D01CE5">
        <w:t>Engl</w:t>
      </w:r>
      <w:proofErr w:type="spellEnd"/>
      <w:r w:rsidRPr="00D01CE5">
        <w:t xml:space="preserve"> J Med, 2005; 353:229-37.</w:t>
      </w:r>
    </w:p>
    <w:p w:rsidR="006C5965" w:rsidRPr="00D01CE5" w:rsidRDefault="006C5965" w:rsidP="006C5965">
      <w:pPr>
        <w:pStyle w:val="EndnoteText"/>
      </w:pPr>
    </w:p>
    <w:p w:rsidR="006C5965" w:rsidRDefault="006C5965" w:rsidP="006C5965">
      <w:pPr>
        <w:pStyle w:val="EndnoteText"/>
        <w:rPr>
          <w:lang w:val="en-US"/>
        </w:rPr>
      </w:pPr>
      <w:r>
        <w:rPr>
          <w:rStyle w:val="EndnoteReference"/>
          <w:rFonts w:eastAsiaTheme="majorEastAsia"/>
        </w:rPr>
        <w:footnoteRef/>
      </w:r>
      <w:r>
        <w:t xml:space="preserve"> </w:t>
      </w:r>
      <w:proofErr w:type="spellStart"/>
      <w:r>
        <w:rPr>
          <w:lang w:val="en-US"/>
        </w:rPr>
        <w:t>Kawwai</w:t>
      </w:r>
      <w:proofErr w:type="spellEnd"/>
      <w:r>
        <w:rPr>
          <w:lang w:val="en-US"/>
        </w:rPr>
        <w:t xml:space="preserve"> M, Malone KE, et al., “Active Smoking and Risk of Estrogen Receptor Positive and Triple-Negative Breast Cancer </w:t>
      </w:r>
      <w:proofErr w:type="gramStart"/>
      <w:r>
        <w:rPr>
          <w:lang w:val="en-US"/>
        </w:rPr>
        <w:t>Among</w:t>
      </w:r>
      <w:proofErr w:type="gramEnd"/>
      <w:r>
        <w:rPr>
          <w:lang w:val="en-US"/>
        </w:rPr>
        <w:t xml:space="preserve"> Women 20-44 Years of Age”, Cancer, 2014; 120:1026-1-34.</w:t>
      </w:r>
    </w:p>
    <w:p w:rsidR="006C5965" w:rsidRPr="00BB04BA" w:rsidRDefault="006C5965" w:rsidP="006C5965">
      <w:pPr>
        <w:pStyle w:val="EndnoteText"/>
        <w:rPr>
          <w:lang w:val="en-US"/>
        </w:rPr>
      </w:pPr>
    </w:p>
    <w:p w:rsidR="006C5965" w:rsidRPr="00D01CE5" w:rsidRDefault="006C5965" w:rsidP="006C5965">
      <w:pPr>
        <w:pStyle w:val="EndnoteText"/>
      </w:pPr>
      <w:r w:rsidRPr="00D01CE5">
        <w:rPr>
          <w:rStyle w:val="EndnoteReference"/>
          <w:rFonts w:eastAsiaTheme="majorEastAsia"/>
        </w:rPr>
        <w:footnoteRef/>
      </w:r>
      <w:r w:rsidRPr="00D01CE5">
        <w:t xml:space="preserve"> Chung MA, </w:t>
      </w:r>
      <w:proofErr w:type="spellStart"/>
      <w:r w:rsidRPr="00D01CE5">
        <w:t>Wazer</w:t>
      </w:r>
      <w:proofErr w:type="spellEnd"/>
      <w:r w:rsidRPr="00D01CE5">
        <w:t xml:space="preserve"> D, Cady B, “Contemporary Management of Breast Cancer, </w:t>
      </w:r>
      <w:proofErr w:type="spellStart"/>
      <w:r w:rsidRPr="00D01CE5">
        <w:t>Obstet</w:t>
      </w:r>
      <w:proofErr w:type="spellEnd"/>
      <w:r w:rsidRPr="00D01CE5">
        <w:t xml:space="preserve"> </w:t>
      </w:r>
      <w:proofErr w:type="spellStart"/>
      <w:r w:rsidRPr="00D01CE5">
        <w:t>Gynecol</w:t>
      </w:r>
      <w:proofErr w:type="spellEnd"/>
      <w:r w:rsidRPr="00D01CE5">
        <w:t xml:space="preserve"> </w:t>
      </w:r>
      <w:proofErr w:type="spellStart"/>
      <w:r w:rsidRPr="00D01CE5">
        <w:t>Clin</w:t>
      </w:r>
      <w:proofErr w:type="spellEnd"/>
      <w:r w:rsidRPr="00D01CE5">
        <w:t xml:space="preserve"> North Am, 2002; 29:173-88.</w:t>
      </w:r>
    </w:p>
    <w:p w:rsidR="006C5965" w:rsidRPr="00D01CE5" w:rsidRDefault="006C5965" w:rsidP="006C5965">
      <w:pPr>
        <w:pStyle w:val="EndnoteText"/>
      </w:pPr>
    </w:p>
    <w:p w:rsidR="006C5965" w:rsidRPr="00D01CE5" w:rsidRDefault="006C5965" w:rsidP="006C5965">
      <w:pPr>
        <w:pStyle w:val="EndnoteText"/>
      </w:pPr>
      <w:r w:rsidRPr="00D01CE5">
        <w:rPr>
          <w:rStyle w:val="EndnoteReference"/>
          <w:rFonts w:eastAsiaTheme="majorEastAsia"/>
        </w:rPr>
        <w:footnoteRef/>
      </w:r>
      <w:r w:rsidRPr="00D01CE5">
        <w:t xml:space="preserve"> Harris EER </w:t>
      </w:r>
      <w:proofErr w:type="spellStart"/>
      <w:r w:rsidRPr="00D01CE5">
        <w:t>Solin</w:t>
      </w:r>
      <w:proofErr w:type="spellEnd"/>
      <w:r w:rsidRPr="00D01CE5">
        <w:t xml:space="preserve"> LJ, “The Diagnosis and Treatment of Ductal Carcinoma in Situ of the Breast”, Breast J, 2000; 6:789-95.</w:t>
      </w:r>
    </w:p>
    <w:p w:rsidR="006C5965" w:rsidRPr="00D01CE5" w:rsidRDefault="006C5965" w:rsidP="006C5965">
      <w:pPr>
        <w:pStyle w:val="EndnoteText"/>
      </w:pPr>
    </w:p>
    <w:p w:rsidR="006C5965" w:rsidRPr="00D01CE5" w:rsidRDefault="006C5965" w:rsidP="006C5965">
      <w:pPr>
        <w:pStyle w:val="EndnoteText"/>
      </w:pPr>
      <w:r w:rsidRPr="00D01CE5">
        <w:rPr>
          <w:rStyle w:val="EndnoteReference"/>
          <w:rFonts w:eastAsiaTheme="majorEastAsia"/>
        </w:rPr>
        <w:footnoteRef/>
      </w:r>
      <w:r w:rsidRPr="00D01CE5">
        <w:t xml:space="preserve"> Schwartz GF, </w:t>
      </w:r>
      <w:proofErr w:type="spellStart"/>
      <w:r w:rsidRPr="00D01CE5">
        <w:t>Terribile</w:t>
      </w:r>
      <w:proofErr w:type="spellEnd"/>
      <w:r w:rsidRPr="00D01CE5">
        <w:t xml:space="preserve"> D, “The Treatment of Ductal Carcinoma in Situ of the Breast”, </w:t>
      </w:r>
      <w:proofErr w:type="spellStart"/>
      <w:r w:rsidRPr="00D01CE5">
        <w:t>Obstet</w:t>
      </w:r>
      <w:proofErr w:type="spellEnd"/>
      <w:r w:rsidRPr="00D01CE5">
        <w:t xml:space="preserve"> </w:t>
      </w:r>
      <w:proofErr w:type="spellStart"/>
      <w:r w:rsidRPr="00D01CE5">
        <w:t>Gynecol</w:t>
      </w:r>
      <w:proofErr w:type="spellEnd"/>
      <w:r w:rsidRPr="00D01CE5">
        <w:t xml:space="preserve"> </w:t>
      </w:r>
      <w:proofErr w:type="spellStart"/>
      <w:r w:rsidRPr="00D01CE5">
        <w:t>Clin</w:t>
      </w:r>
      <w:proofErr w:type="spellEnd"/>
      <w:r w:rsidRPr="00D01CE5">
        <w:t xml:space="preserve"> North Am, 2002; 189-200.</w:t>
      </w:r>
    </w:p>
    <w:p w:rsidR="006C5965" w:rsidRPr="00D01CE5" w:rsidRDefault="006C5965" w:rsidP="006C5965">
      <w:pPr>
        <w:pStyle w:val="EndnoteText"/>
      </w:pPr>
    </w:p>
    <w:p w:rsidR="006C5965" w:rsidRPr="00D01CE5" w:rsidRDefault="006C5965" w:rsidP="006C5965">
      <w:pPr>
        <w:pStyle w:val="EndnoteText"/>
      </w:pPr>
      <w:r w:rsidRPr="00D01CE5">
        <w:rPr>
          <w:rStyle w:val="EndnoteReference"/>
          <w:rFonts w:eastAsiaTheme="majorEastAsia"/>
        </w:rPr>
        <w:footnoteRef/>
      </w:r>
      <w:r w:rsidRPr="00D01CE5">
        <w:t xml:space="preserve"> </w:t>
      </w:r>
      <w:proofErr w:type="spellStart"/>
      <w:r w:rsidRPr="00507516">
        <w:t>Chuba</w:t>
      </w:r>
      <w:proofErr w:type="spellEnd"/>
      <w:r w:rsidRPr="00507516">
        <w:t xml:space="preserve"> PJ, </w:t>
      </w:r>
      <w:proofErr w:type="spellStart"/>
      <w:r w:rsidRPr="00507516">
        <w:t>Hamre</w:t>
      </w:r>
      <w:proofErr w:type="spellEnd"/>
      <w:r w:rsidRPr="00507516">
        <w:t xml:space="preserve"> MR, Yap J,</w:t>
      </w:r>
      <w:r>
        <w:rPr>
          <w:lang w:val="en-US"/>
        </w:rPr>
        <w:t xml:space="preserve"> et al. </w:t>
      </w:r>
      <w:r>
        <w:t>Bilateral risk for subsequent breast cancer after lobular carcinoma-in-situ: analysis of surveillance, epidemiology, and end results data.</w:t>
      </w:r>
      <w:r>
        <w:rPr>
          <w:lang w:val="en-US"/>
        </w:rPr>
        <w:t xml:space="preserve"> </w:t>
      </w:r>
      <w:r>
        <w:t xml:space="preserve">J </w:t>
      </w:r>
      <w:proofErr w:type="spellStart"/>
      <w:r>
        <w:t>Clin</w:t>
      </w:r>
      <w:proofErr w:type="spellEnd"/>
      <w:r>
        <w:t xml:space="preserve"> </w:t>
      </w:r>
      <w:proofErr w:type="spellStart"/>
      <w:r>
        <w:t>Oncol</w:t>
      </w:r>
      <w:proofErr w:type="spellEnd"/>
      <w:r>
        <w:t xml:space="preserve">. 2005;23(24):5534. </w:t>
      </w:r>
    </w:p>
    <w:p w:rsidR="006C5965" w:rsidRPr="00D01CE5" w:rsidRDefault="006C5965" w:rsidP="006C5965">
      <w:pPr>
        <w:pStyle w:val="EndnoteText"/>
      </w:pPr>
      <w:r w:rsidRPr="00D01CE5">
        <w:rPr>
          <w:rStyle w:val="EndnoteReference"/>
          <w:rFonts w:eastAsiaTheme="majorEastAsia"/>
        </w:rPr>
        <w:footnoteRef/>
      </w:r>
      <w:r w:rsidRPr="00D01CE5">
        <w:t xml:space="preserve"> Lester SC, </w:t>
      </w:r>
      <w:proofErr w:type="spellStart"/>
      <w:r w:rsidRPr="00D01CE5">
        <w:t>Cotran</w:t>
      </w:r>
      <w:proofErr w:type="spellEnd"/>
      <w:r w:rsidRPr="00D01CE5">
        <w:t xml:space="preserve"> RS, “The Breast” in Kumar V, Abbas AK, </w:t>
      </w:r>
      <w:proofErr w:type="spellStart"/>
      <w:r w:rsidRPr="00D01CE5">
        <w:t>Fausto</w:t>
      </w:r>
      <w:proofErr w:type="spellEnd"/>
      <w:r w:rsidRPr="00D01CE5">
        <w:t xml:space="preserve"> N, </w:t>
      </w:r>
      <w:proofErr w:type="spellStart"/>
      <w:r w:rsidRPr="00D01CE5">
        <w:t>eds</w:t>
      </w:r>
      <w:proofErr w:type="spellEnd"/>
      <w:r w:rsidRPr="00D01CE5">
        <w:t xml:space="preserve"> </w:t>
      </w:r>
      <w:r w:rsidRPr="00D01CE5">
        <w:rPr>
          <w:i/>
        </w:rPr>
        <w:t xml:space="preserve">Robbins and </w:t>
      </w:r>
      <w:proofErr w:type="spellStart"/>
      <w:r w:rsidRPr="00D01CE5">
        <w:rPr>
          <w:i/>
        </w:rPr>
        <w:t>Cotran</w:t>
      </w:r>
      <w:proofErr w:type="spellEnd"/>
      <w:r w:rsidRPr="00D01CE5">
        <w:rPr>
          <w:i/>
        </w:rPr>
        <w:t xml:space="preserve"> Pathologic Basis of Disease</w:t>
      </w:r>
      <w:r w:rsidRPr="00D01CE5">
        <w:t>, 7</w:t>
      </w:r>
      <w:r w:rsidRPr="00D01CE5">
        <w:rPr>
          <w:vertAlign w:val="superscript"/>
        </w:rPr>
        <w:t>th</w:t>
      </w:r>
      <w:r w:rsidRPr="00D01CE5">
        <w:t xml:space="preserve"> ed., Elsevier Saunders. </w:t>
      </w:r>
    </w:p>
    <w:p w:rsidR="006C5965" w:rsidRPr="00D01CE5" w:rsidRDefault="006C5965" w:rsidP="006C5965">
      <w:pPr>
        <w:pStyle w:val="EndnoteText"/>
      </w:pPr>
    </w:p>
    <w:p w:rsidR="006C5965" w:rsidRDefault="006C5965" w:rsidP="006C5965">
      <w:pPr>
        <w:pStyle w:val="EndnoteText"/>
        <w:rPr>
          <w:lang w:val="en-US"/>
        </w:rPr>
      </w:pPr>
      <w:r>
        <w:rPr>
          <w:rStyle w:val="EndnoteReference"/>
          <w:rFonts w:eastAsiaTheme="majorEastAsia"/>
        </w:rPr>
        <w:footnoteRef/>
      </w:r>
      <w:r>
        <w:t xml:space="preserve"> </w:t>
      </w:r>
      <w:proofErr w:type="spellStart"/>
      <w:r>
        <w:rPr>
          <w:lang w:val="en-US"/>
        </w:rPr>
        <w:t>Friedewald</w:t>
      </w:r>
      <w:proofErr w:type="spellEnd"/>
      <w:r>
        <w:rPr>
          <w:lang w:val="en-US"/>
        </w:rPr>
        <w:t xml:space="preserve"> SM, </w:t>
      </w:r>
      <w:proofErr w:type="spellStart"/>
      <w:r>
        <w:rPr>
          <w:lang w:val="en-US"/>
        </w:rPr>
        <w:t>RaffertyEA</w:t>
      </w:r>
      <w:proofErr w:type="spellEnd"/>
      <w:r>
        <w:rPr>
          <w:lang w:val="en-US"/>
        </w:rPr>
        <w:t xml:space="preserve">, et al., “Breast Cancer Screening Using </w:t>
      </w:r>
      <w:proofErr w:type="spellStart"/>
      <w:r>
        <w:rPr>
          <w:lang w:val="en-US"/>
        </w:rPr>
        <w:t>Tomosynthesis</w:t>
      </w:r>
      <w:proofErr w:type="spellEnd"/>
      <w:r>
        <w:rPr>
          <w:lang w:val="en-US"/>
        </w:rPr>
        <w:t xml:space="preserve"> in Combination with Digital Mammography”, JAMA, 2014; 311:2499-2507.</w:t>
      </w:r>
    </w:p>
    <w:p w:rsidR="006C5965" w:rsidRPr="00BB04BA" w:rsidRDefault="006C5965" w:rsidP="006C5965">
      <w:pPr>
        <w:pStyle w:val="EndnoteText"/>
        <w:rPr>
          <w:lang w:val="en-US"/>
        </w:rPr>
      </w:pPr>
    </w:p>
    <w:p w:rsidR="006C5965" w:rsidRDefault="006C5965" w:rsidP="006C5965">
      <w:pPr>
        <w:pStyle w:val="EndnoteText"/>
        <w:rPr>
          <w:lang w:val="en-US"/>
        </w:rPr>
      </w:pPr>
      <w:r>
        <w:rPr>
          <w:rStyle w:val="EndnoteReference"/>
          <w:rFonts w:eastAsiaTheme="majorEastAsia"/>
        </w:rPr>
        <w:footnoteRef/>
      </w:r>
      <w:r>
        <w:t xml:space="preserve"> </w:t>
      </w:r>
      <w:proofErr w:type="spellStart"/>
      <w:r>
        <w:rPr>
          <w:lang w:val="en-US"/>
        </w:rPr>
        <w:t>Hanf</w:t>
      </w:r>
      <w:proofErr w:type="spellEnd"/>
      <w:r>
        <w:rPr>
          <w:lang w:val="en-US"/>
        </w:rPr>
        <w:t xml:space="preserve"> V, </w:t>
      </w:r>
      <w:proofErr w:type="spellStart"/>
      <w:r>
        <w:rPr>
          <w:lang w:val="en-US"/>
        </w:rPr>
        <w:t>Schurtz</w:t>
      </w:r>
      <w:proofErr w:type="spellEnd"/>
      <w:r>
        <w:rPr>
          <w:lang w:val="en-US"/>
        </w:rPr>
        <w:t xml:space="preserve"> f, et al., “AGO Recommendations for the Diagnosis and Treatment of Patients with Early Breast Cancer: Update 2015”, Breast Care, 2015; 10:189-197.</w:t>
      </w:r>
    </w:p>
    <w:p w:rsidR="006C5965" w:rsidRPr="00BB04BA" w:rsidRDefault="006C5965" w:rsidP="006C5965">
      <w:pPr>
        <w:pStyle w:val="EndnoteText"/>
        <w:rPr>
          <w:lang w:val="en-US"/>
        </w:rPr>
      </w:pPr>
    </w:p>
    <w:p w:rsidR="006C5965" w:rsidRPr="00D01CE5" w:rsidRDefault="006C5965" w:rsidP="006C5965">
      <w:pPr>
        <w:pStyle w:val="EndnoteText"/>
      </w:pPr>
      <w:r w:rsidRPr="00D01CE5">
        <w:rPr>
          <w:rStyle w:val="EndnoteReference"/>
          <w:rFonts w:eastAsiaTheme="majorEastAsia"/>
        </w:rPr>
        <w:footnoteRef/>
      </w:r>
      <w:r w:rsidRPr="00D01CE5">
        <w:t xml:space="preserve"> </w:t>
      </w:r>
      <w:r w:rsidRPr="00751CEF">
        <w:rPr>
          <w:lang w:val="en-US"/>
        </w:rPr>
        <w:t>AJCC (American Joint Committee on Cancer) Cancer Staging Manual; 8th edition, 3rd printing, Amin MB, Edge SB, Greene FL, et al (</w:t>
      </w:r>
      <w:proofErr w:type="spellStart"/>
      <w:r w:rsidRPr="00751CEF">
        <w:rPr>
          <w:lang w:val="en-US"/>
        </w:rPr>
        <w:t>Eds</w:t>
      </w:r>
      <w:proofErr w:type="spellEnd"/>
      <w:r w:rsidRPr="00751CEF">
        <w:rPr>
          <w:lang w:val="en-US"/>
        </w:rPr>
        <w:t>), Springer, Chicago 2018.</w:t>
      </w:r>
    </w:p>
    <w:p w:rsidR="006C5965" w:rsidRPr="00D01CE5" w:rsidRDefault="006C5965" w:rsidP="006C5965">
      <w:pPr>
        <w:pStyle w:val="EndnoteText"/>
      </w:pPr>
      <w:r w:rsidRPr="00D01CE5">
        <w:rPr>
          <w:rStyle w:val="EndnoteReference"/>
          <w:rFonts w:eastAsiaTheme="majorEastAsia"/>
        </w:rPr>
        <w:footnoteRef/>
      </w:r>
      <w:r w:rsidRPr="00D01CE5">
        <w:t xml:space="preserve"> </w:t>
      </w:r>
      <w:proofErr w:type="spellStart"/>
      <w:r w:rsidRPr="00D01CE5">
        <w:t>Bundred</w:t>
      </w:r>
      <w:proofErr w:type="spellEnd"/>
      <w:r w:rsidRPr="00D01CE5">
        <w:t xml:space="preserve"> NJ,  “Prognostic and Predictive Factors in Breast Cancer”, Cancer </w:t>
      </w:r>
      <w:proofErr w:type="spellStart"/>
      <w:r w:rsidRPr="00D01CE5">
        <w:t>Terat</w:t>
      </w:r>
      <w:proofErr w:type="spellEnd"/>
      <w:r w:rsidRPr="00D01CE5">
        <w:t xml:space="preserve"> Rev, 2001; 27:137-142.</w:t>
      </w:r>
    </w:p>
    <w:p w:rsidR="006C5965" w:rsidRPr="00D01CE5" w:rsidRDefault="006C5965" w:rsidP="006C5965">
      <w:pPr>
        <w:pStyle w:val="EndnoteText"/>
      </w:pPr>
    </w:p>
    <w:p w:rsidR="006C5965" w:rsidRPr="00D01CE5" w:rsidRDefault="006C5965" w:rsidP="006C5965">
      <w:pPr>
        <w:pStyle w:val="EndnoteText"/>
      </w:pPr>
      <w:r w:rsidRPr="00D01CE5">
        <w:rPr>
          <w:rStyle w:val="EndnoteReference"/>
          <w:rFonts w:eastAsiaTheme="majorEastAsia"/>
        </w:rPr>
        <w:footnoteRef/>
      </w:r>
      <w:r w:rsidRPr="00D01CE5">
        <w:t xml:space="preserve"> </w:t>
      </w:r>
      <w:proofErr w:type="spellStart"/>
      <w:r w:rsidRPr="00D01CE5">
        <w:t>Cianfrocca</w:t>
      </w:r>
      <w:proofErr w:type="spellEnd"/>
      <w:r w:rsidRPr="00D01CE5">
        <w:t xml:space="preserve"> M, Goldstein LJ,  “Prognostic and Predictive Factors in Early-Stage Breast Cancer”, Oncologist, 2004; 9:606-16.</w:t>
      </w:r>
    </w:p>
    <w:p w:rsidR="006C5965" w:rsidRPr="00D01CE5" w:rsidRDefault="006C5965" w:rsidP="006C5965">
      <w:pPr>
        <w:pStyle w:val="EndnoteText"/>
      </w:pPr>
    </w:p>
    <w:p w:rsidR="006C5965" w:rsidRPr="00D01CE5" w:rsidRDefault="006C5965" w:rsidP="006C5965">
      <w:pPr>
        <w:pStyle w:val="EndnoteText"/>
      </w:pPr>
      <w:r w:rsidRPr="00D01CE5">
        <w:rPr>
          <w:rStyle w:val="EndnoteReference"/>
          <w:rFonts w:eastAsiaTheme="majorEastAsia"/>
        </w:rPr>
        <w:footnoteRef/>
      </w:r>
      <w:r w:rsidRPr="00D01CE5">
        <w:t xml:space="preserve"> </w:t>
      </w:r>
      <w:proofErr w:type="spellStart"/>
      <w:r w:rsidRPr="00D01CE5">
        <w:t>Soonmyung</w:t>
      </w:r>
      <w:proofErr w:type="spellEnd"/>
      <w:r w:rsidRPr="00D01CE5">
        <w:t xml:space="preserve"> P, Shak s, et al., “A Multigene Assay to Predict Recurrence of Tamoxifen Treated, Node-Negative Breast Cancer”, N </w:t>
      </w:r>
      <w:proofErr w:type="spellStart"/>
      <w:r w:rsidRPr="00D01CE5">
        <w:t>Engl</w:t>
      </w:r>
      <w:proofErr w:type="spellEnd"/>
      <w:r w:rsidRPr="00D01CE5">
        <w:t xml:space="preserve"> J Med, 2004; 351:2817-26.</w:t>
      </w:r>
    </w:p>
    <w:p w:rsidR="006C5965" w:rsidRPr="00D01CE5" w:rsidRDefault="006C5965" w:rsidP="006C5965">
      <w:pPr>
        <w:pStyle w:val="EndnoteText"/>
      </w:pPr>
    </w:p>
    <w:p w:rsidR="006C5965" w:rsidRPr="00D01CE5" w:rsidRDefault="006C5965" w:rsidP="006C5965">
      <w:pPr>
        <w:pStyle w:val="EndnoteText"/>
      </w:pPr>
      <w:r w:rsidRPr="00D01CE5">
        <w:rPr>
          <w:rStyle w:val="EndnoteReference"/>
          <w:rFonts w:eastAsiaTheme="majorEastAsia"/>
        </w:rPr>
        <w:lastRenderedPageBreak/>
        <w:footnoteRef/>
      </w:r>
      <w:r w:rsidRPr="00D01CE5">
        <w:t xml:space="preserve"> Tan LK, </w:t>
      </w:r>
      <w:proofErr w:type="spellStart"/>
      <w:r w:rsidRPr="00D01CE5">
        <w:t>Giri</w:t>
      </w:r>
      <w:proofErr w:type="spellEnd"/>
      <w:r w:rsidRPr="00D01CE5">
        <w:t xml:space="preserve"> D et al., “Occult Axillary Node Metastasis in Breast Cancer are </w:t>
      </w:r>
      <w:proofErr w:type="spellStart"/>
      <w:r w:rsidRPr="00D01CE5">
        <w:t>Prognostically</w:t>
      </w:r>
      <w:proofErr w:type="spellEnd"/>
      <w:r w:rsidRPr="00D01CE5">
        <w:t xml:space="preserve"> Significant: Results in 368 Node-Negative Patients with 20-Year Follow-Up”, J </w:t>
      </w:r>
      <w:proofErr w:type="spellStart"/>
      <w:r w:rsidRPr="00D01CE5">
        <w:t>Clin</w:t>
      </w:r>
      <w:proofErr w:type="spellEnd"/>
      <w:r w:rsidRPr="00D01CE5">
        <w:t xml:space="preserve"> </w:t>
      </w:r>
      <w:proofErr w:type="spellStart"/>
      <w:r w:rsidRPr="00D01CE5">
        <w:t>Oncol</w:t>
      </w:r>
      <w:proofErr w:type="spellEnd"/>
      <w:r w:rsidRPr="00D01CE5">
        <w:t>, 2008; 26:1803-1809.</w:t>
      </w:r>
    </w:p>
    <w:p w:rsidR="006C5965" w:rsidRPr="00D01CE5" w:rsidRDefault="006C5965" w:rsidP="006C5965">
      <w:pPr>
        <w:pStyle w:val="EndnoteText"/>
      </w:pPr>
    </w:p>
    <w:p w:rsidR="006C5965" w:rsidRPr="00D01CE5" w:rsidRDefault="006C5965" w:rsidP="006C5965">
      <w:pPr>
        <w:pStyle w:val="EndnoteText"/>
      </w:pPr>
      <w:r w:rsidRPr="00D01CE5">
        <w:rPr>
          <w:rStyle w:val="EndnoteReference"/>
          <w:rFonts w:eastAsiaTheme="majorEastAsia"/>
        </w:rPr>
        <w:footnoteRef/>
      </w:r>
      <w:r w:rsidRPr="00D01CE5">
        <w:t xml:space="preserve"> De Boer M, van </w:t>
      </w:r>
      <w:proofErr w:type="spellStart"/>
      <w:r w:rsidRPr="00D01CE5">
        <w:t>Deurzen</w:t>
      </w:r>
      <w:proofErr w:type="spellEnd"/>
      <w:r w:rsidRPr="00D01CE5">
        <w:t xml:space="preserve"> CHM, et al., </w:t>
      </w:r>
      <w:proofErr w:type="spellStart"/>
      <w:r w:rsidRPr="00D01CE5">
        <w:t>Micrometastases</w:t>
      </w:r>
      <w:proofErr w:type="spellEnd"/>
      <w:r w:rsidRPr="00D01CE5">
        <w:t xml:space="preserve"> of Isolated Tumor Cells and the Outcome of Breast Cancer”, N </w:t>
      </w:r>
      <w:proofErr w:type="spellStart"/>
      <w:r w:rsidRPr="00D01CE5">
        <w:t>Engl</w:t>
      </w:r>
      <w:proofErr w:type="spellEnd"/>
      <w:r w:rsidRPr="00D01CE5">
        <w:t xml:space="preserve"> J  Med, 2009; 361:361:353-363.</w:t>
      </w:r>
    </w:p>
    <w:p w:rsidR="006C5965" w:rsidRPr="00D01CE5" w:rsidRDefault="006C5965" w:rsidP="006C5965">
      <w:pPr>
        <w:pStyle w:val="EndnoteText"/>
      </w:pPr>
    </w:p>
    <w:p w:rsidR="006C5965" w:rsidRPr="00D01CE5" w:rsidRDefault="006C5965" w:rsidP="006C5965">
      <w:pPr>
        <w:pStyle w:val="EndnoteText"/>
      </w:pPr>
      <w:r w:rsidRPr="00D01CE5">
        <w:rPr>
          <w:rStyle w:val="EndnoteReference"/>
          <w:rFonts w:eastAsiaTheme="majorEastAsia"/>
        </w:rPr>
        <w:footnoteRef/>
      </w:r>
      <w:r w:rsidRPr="00D01CE5">
        <w:t xml:space="preserve"> </w:t>
      </w:r>
      <w:proofErr w:type="spellStart"/>
      <w:r w:rsidRPr="00D01CE5">
        <w:t>Soerjomataram</w:t>
      </w:r>
      <w:proofErr w:type="spellEnd"/>
      <w:r w:rsidRPr="00D01CE5">
        <w:t xml:space="preserve"> I </w:t>
      </w:r>
      <w:proofErr w:type="spellStart"/>
      <w:r w:rsidRPr="00D01CE5">
        <w:t>Lourman</w:t>
      </w:r>
      <w:proofErr w:type="spellEnd"/>
      <w:r w:rsidRPr="00D01CE5">
        <w:t xml:space="preserve"> MJ et al., “An Overview of Prognostic Factors for Long-Term Survivors of Breast Cancer”, Breast Cancer Res Treat, 2008; 107:309-330.</w:t>
      </w:r>
    </w:p>
    <w:p w:rsidR="006C5965" w:rsidRPr="00D01CE5" w:rsidRDefault="006C5965" w:rsidP="006C5965">
      <w:pPr>
        <w:pStyle w:val="EndnoteText"/>
      </w:pPr>
    </w:p>
    <w:p w:rsidR="006C5965" w:rsidRPr="00416295" w:rsidRDefault="006C5965" w:rsidP="006C5965">
      <w:pPr>
        <w:pStyle w:val="EndnoteText"/>
        <w:rPr>
          <w:lang w:val="en-US"/>
        </w:rPr>
      </w:pPr>
      <w:r w:rsidRPr="00D01CE5">
        <w:rPr>
          <w:rStyle w:val="EndnoteReference"/>
          <w:rFonts w:eastAsiaTheme="majorEastAsia"/>
        </w:rPr>
        <w:footnoteRef/>
      </w:r>
      <w:r w:rsidRPr="00D01CE5">
        <w:t xml:space="preserve"> </w:t>
      </w:r>
      <w:r w:rsidRPr="00A2432D">
        <w:t>Sparano</w:t>
      </w:r>
      <w:r>
        <w:rPr>
          <w:lang w:val="en-US"/>
        </w:rPr>
        <w:t xml:space="preserve"> JA, </w:t>
      </w:r>
      <w:r w:rsidRPr="00A2432D">
        <w:rPr>
          <w:lang w:val="en-US"/>
        </w:rPr>
        <w:t>Gray</w:t>
      </w:r>
      <w:r>
        <w:rPr>
          <w:lang w:val="en-US"/>
        </w:rPr>
        <w:t xml:space="preserve"> RJ</w:t>
      </w:r>
      <w:r w:rsidRPr="00A2432D">
        <w:rPr>
          <w:lang w:val="en-US"/>
        </w:rPr>
        <w:t>,</w:t>
      </w:r>
      <w:r>
        <w:rPr>
          <w:lang w:val="en-US"/>
        </w:rPr>
        <w:t xml:space="preserve"> </w:t>
      </w:r>
      <w:proofErr w:type="spellStart"/>
      <w:r w:rsidRPr="00A2432D">
        <w:rPr>
          <w:lang w:val="en-US"/>
        </w:rPr>
        <w:t>Makower</w:t>
      </w:r>
      <w:proofErr w:type="spellEnd"/>
      <w:r>
        <w:rPr>
          <w:lang w:val="en-US"/>
        </w:rPr>
        <w:t xml:space="preserve"> DF, et al. </w:t>
      </w:r>
      <w:r>
        <w:t>Prospective Validation of a 21-Gene</w:t>
      </w:r>
      <w:r>
        <w:rPr>
          <w:lang w:val="en-US"/>
        </w:rPr>
        <w:t xml:space="preserve"> </w:t>
      </w:r>
      <w:r>
        <w:t>Expression Assay in Breast Cancer</w:t>
      </w:r>
      <w:r>
        <w:rPr>
          <w:lang w:val="en-US"/>
        </w:rPr>
        <w:t xml:space="preserve">. </w:t>
      </w:r>
      <w:r w:rsidRPr="00C974D0">
        <w:rPr>
          <w:lang w:val="en-US"/>
        </w:rPr>
        <w:t xml:space="preserve">N </w:t>
      </w:r>
      <w:proofErr w:type="spellStart"/>
      <w:r w:rsidRPr="00C974D0">
        <w:rPr>
          <w:lang w:val="en-US"/>
        </w:rPr>
        <w:t>Engl</w:t>
      </w:r>
      <w:proofErr w:type="spellEnd"/>
      <w:r w:rsidRPr="00C974D0">
        <w:rPr>
          <w:lang w:val="en-US"/>
        </w:rPr>
        <w:t xml:space="preserve"> J Med. 2015</w:t>
      </w:r>
      <w:proofErr w:type="gramStart"/>
      <w:r w:rsidRPr="00C974D0">
        <w:rPr>
          <w:lang w:val="en-US"/>
        </w:rPr>
        <w:t>;373</w:t>
      </w:r>
      <w:proofErr w:type="gramEnd"/>
      <w:r w:rsidRPr="00C974D0">
        <w:rPr>
          <w:lang w:val="en-US"/>
        </w:rPr>
        <w:t>(21):2005.</w:t>
      </w:r>
    </w:p>
    <w:p w:rsidR="006C5965" w:rsidRPr="00D01CE5" w:rsidRDefault="006C5965" w:rsidP="006C5965">
      <w:pPr>
        <w:pStyle w:val="EndnoteText"/>
      </w:pPr>
      <w:r w:rsidRPr="00D01CE5">
        <w:t>.</w:t>
      </w:r>
    </w:p>
    <w:p w:rsidR="006C5965" w:rsidRPr="00D01CE5" w:rsidRDefault="006C5965" w:rsidP="006C5965">
      <w:pPr>
        <w:pStyle w:val="EndnoteText"/>
      </w:pPr>
    </w:p>
    <w:p w:rsidR="006C5965" w:rsidRPr="00D01CE5" w:rsidRDefault="006C5965" w:rsidP="006C5965">
      <w:pPr>
        <w:pStyle w:val="EndnoteText"/>
      </w:pPr>
      <w:r w:rsidRPr="00D01CE5">
        <w:rPr>
          <w:rStyle w:val="EndnoteReference"/>
          <w:rFonts w:eastAsiaTheme="majorEastAsia"/>
        </w:rPr>
        <w:footnoteRef/>
      </w:r>
      <w:r w:rsidRPr="00D01CE5">
        <w:t xml:space="preserve"> </w:t>
      </w:r>
      <w:proofErr w:type="spellStart"/>
      <w:r w:rsidRPr="00D01CE5">
        <w:t>Gluz</w:t>
      </w:r>
      <w:proofErr w:type="spellEnd"/>
      <w:r w:rsidRPr="00D01CE5">
        <w:t xml:space="preserve"> O, </w:t>
      </w:r>
      <w:proofErr w:type="spellStart"/>
      <w:r w:rsidRPr="00D01CE5">
        <w:t>Liedtke</w:t>
      </w:r>
      <w:proofErr w:type="spellEnd"/>
      <w:r w:rsidRPr="00D01CE5">
        <w:t xml:space="preserve"> C, et al., “Triple-Negative Breast Cancer – Current Status and Future Directions”, Ann </w:t>
      </w:r>
      <w:proofErr w:type="spellStart"/>
      <w:r w:rsidRPr="00D01CE5">
        <w:t>Oncol</w:t>
      </w:r>
      <w:proofErr w:type="spellEnd"/>
      <w:r w:rsidRPr="00D01CE5">
        <w:t>, 2009; 20:1913-1927.</w:t>
      </w:r>
    </w:p>
    <w:p w:rsidR="006C5965" w:rsidRPr="00D01CE5" w:rsidRDefault="006C5965" w:rsidP="006C5965">
      <w:pPr>
        <w:pStyle w:val="EndnoteText"/>
      </w:pPr>
    </w:p>
    <w:p w:rsidR="006C5965" w:rsidRDefault="006C5965" w:rsidP="006C5965">
      <w:pPr>
        <w:pStyle w:val="EndnoteText"/>
        <w:rPr>
          <w:lang w:val="en-US"/>
        </w:rPr>
      </w:pPr>
      <w:r>
        <w:rPr>
          <w:rStyle w:val="EndnoteReference"/>
          <w:rFonts w:eastAsiaTheme="majorEastAsia"/>
        </w:rPr>
        <w:footnoteRef/>
      </w:r>
      <w:r>
        <w:t xml:space="preserve"> </w:t>
      </w:r>
      <w:proofErr w:type="spellStart"/>
      <w:r>
        <w:rPr>
          <w:lang w:val="en-US"/>
        </w:rPr>
        <w:t>Banin</w:t>
      </w:r>
      <w:proofErr w:type="spellEnd"/>
      <w:r>
        <w:rPr>
          <w:lang w:val="en-US"/>
        </w:rPr>
        <w:t xml:space="preserve"> Hirata BK, </w:t>
      </w:r>
      <w:proofErr w:type="spellStart"/>
      <w:r>
        <w:rPr>
          <w:lang w:val="en-US"/>
        </w:rPr>
        <w:t>Oda</w:t>
      </w:r>
      <w:proofErr w:type="spellEnd"/>
      <w:r>
        <w:rPr>
          <w:lang w:val="en-US"/>
        </w:rPr>
        <w:t xml:space="preserve"> JMM, et al., “Molecular markers for Breast Cancer: Prediction on Tumor Behavior”</w:t>
      </w:r>
      <w:proofErr w:type="gramStart"/>
      <w:r>
        <w:rPr>
          <w:lang w:val="en-US"/>
        </w:rPr>
        <w:t>, ,Dis</w:t>
      </w:r>
      <w:proofErr w:type="gramEnd"/>
      <w:r>
        <w:rPr>
          <w:lang w:val="en-US"/>
        </w:rPr>
        <w:t xml:space="preserve"> Markers, 2014; </w:t>
      </w:r>
      <w:proofErr w:type="spellStart"/>
      <w:r>
        <w:rPr>
          <w:lang w:val="en-US"/>
        </w:rPr>
        <w:t>Epub</w:t>
      </w:r>
      <w:proofErr w:type="spellEnd"/>
      <w:r>
        <w:rPr>
          <w:lang w:val="en-US"/>
        </w:rPr>
        <w:t>.</w:t>
      </w:r>
    </w:p>
    <w:p w:rsidR="006C5965" w:rsidRPr="00BB04BA" w:rsidRDefault="006C5965" w:rsidP="006C5965">
      <w:pPr>
        <w:pStyle w:val="EndnoteText"/>
        <w:rPr>
          <w:lang w:val="en-US"/>
        </w:rPr>
      </w:pPr>
      <w:r>
        <w:rPr>
          <w:lang w:val="en-US"/>
        </w:rPr>
        <w:t xml:space="preserve"> </w:t>
      </w:r>
    </w:p>
    <w:p w:rsidR="006C5965" w:rsidRDefault="006C5965" w:rsidP="006C5965">
      <w:pPr>
        <w:pStyle w:val="EndnoteText"/>
        <w:rPr>
          <w:lang w:val="en-US"/>
        </w:rPr>
      </w:pPr>
      <w:r>
        <w:rPr>
          <w:rStyle w:val="EndnoteReference"/>
          <w:rFonts w:eastAsiaTheme="majorEastAsia"/>
        </w:rPr>
        <w:footnoteRef/>
      </w:r>
      <w:r>
        <w:t xml:space="preserve"> </w:t>
      </w:r>
      <w:proofErr w:type="spellStart"/>
      <w:r>
        <w:rPr>
          <w:lang w:val="en-US"/>
        </w:rPr>
        <w:t>Gyorffy</w:t>
      </w:r>
      <w:proofErr w:type="spellEnd"/>
      <w:r>
        <w:rPr>
          <w:lang w:val="en-US"/>
        </w:rPr>
        <w:t xml:space="preserve"> B, </w:t>
      </w:r>
      <w:proofErr w:type="spellStart"/>
      <w:r>
        <w:rPr>
          <w:lang w:val="en-US"/>
        </w:rPr>
        <w:t>Hatzis</w:t>
      </w:r>
      <w:proofErr w:type="spellEnd"/>
      <w:r>
        <w:rPr>
          <w:lang w:val="en-US"/>
        </w:rPr>
        <w:t xml:space="preserve"> C, et al., “Multigene Prognostic Tests in Breast Cancer: Past Present Future”, Breast Cancer Res, 2015; 17:11.</w:t>
      </w:r>
    </w:p>
    <w:p w:rsidR="006C5965" w:rsidRPr="00BB04BA" w:rsidRDefault="006C5965" w:rsidP="006C5965">
      <w:pPr>
        <w:pStyle w:val="EndnoteText"/>
        <w:rPr>
          <w:lang w:val="en-US"/>
        </w:rPr>
      </w:pPr>
    </w:p>
    <w:p w:rsidR="006C5965" w:rsidRDefault="006C5965" w:rsidP="006C5965">
      <w:pPr>
        <w:pStyle w:val="EndnoteText"/>
      </w:pPr>
      <w:r w:rsidRPr="00D01CE5">
        <w:rPr>
          <w:rStyle w:val="EndnoteReference"/>
          <w:rFonts w:eastAsiaTheme="majorEastAsia"/>
        </w:rPr>
        <w:footnoteRef/>
      </w:r>
      <w:r w:rsidRPr="00D01CE5">
        <w:t xml:space="preserve"> </w:t>
      </w:r>
      <w:r w:rsidRPr="002B49DF">
        <w:t xml:space="preserve">Purdie CA, Quinlan P, Jordan LB, </w:t>
      </w:r>
      <w:r w:rsidRPr="00416295">
        <w:rPr>
          <w:lang w:val="de-DE"/>
        </w:rPr>
        <w:t xml:space="preserve">et al. </w:t>
      </w:r>
      <w:r>
        <w:t>Progesterone receptor expression is an independent prognostic variable in early breast cancer: a population-based study.</w:t>
      </w:r>
      <w:r>
        <w:rPr>
          <w:lang w:val="en-US"/>
        </w:rPr>
        <w:t xml:space="preserve"> </w:t>
      </w:r>
      <w:r>
        <w:t xml:space="preserve">Br J Cancer. 2014 Feb;110(3):565-72. </w:t>
      </w:r>
      <w:proofErr w:type="spellStart"/>
      <w:r>
        <w:t>Epub</w:t>
      </w:r>
      <w:proofErr w:type="spellEnd"/>
      <w:r>
        <w:t xml:space="preserve"> 2013 Dec 03.</w:t>
      </w:r>
    </w:p>
    <w:p w:rsidR="006C5965" w:rsidRDefault="006C5965" w:rsidP="006C5965">
      <w:pPr>
        <w:pStyle w:val="EndnoteText"/>
      </w:pPr>
    </w:p>
    <w:p w:rsidR="006C5965" w:rsidRPr="00BB04BA" w:rsidRDefault="006C5965" w:rsidP="006C5965">
      <w:pPr>
        <w:pStyle w:val="EndnoteText"/>
        <w:rPr>
          <w:lang w:val="en-US"/>
        </w:rPr>
      </w:pPr>
      <w:r w:rsidRPr="00416295">
        <w:rPr>
          <w:vertAlign w:val="superscript"/>
          <w:lang w:val="en-US"/>
        </w:rPr>
        <w:t>27</w:t>
      </w:r>
      <w:r w:rsidRPr="00D01CE5">
        <w:t xml:space="preserve">Mendenhall NP, “Breast-Conserving Therapy for Early-Stage Breast Cancer”, </w:t>
      </w:r>
      <w:proofErr w:type="spellStart"/>
      <w:r w:rsidRPr="00D01CE5">
        <w:t>Hematol</w:t>
      </w:r>
      <w:proofErr w:type="spellEnd"/>
      <w:r w:rsidRPr="00D01CE5">
        <w:t xml:space="preserve"> </w:t>
      </w:r>
      <w:proofErr w:type="spellStart"/>
      <w:r w:rsidRPr="00D01CE5">
        <w:t>Oncol</w:t>
      </w:r>
      <w:proofErr w:type="spellEnd"/>
      <w:r w:rsidRPr="00D01CE5">
        <w:t xml:space="preserve"> </w:t>
      </w:r>
      <w:proofErr w:type="spellStart"/>
      <w:r w:rsidRPr="00D01CE5">
        <w:t>Clin</w:t>
      </w:r>
      <w:proofErr w:type="spellEnd"/>
      <w:r w:rsidRPr="00D01CE5">
        <w:t xml:space="preserve"> North Am, 2001; 15:219-42</w:t>
      </w:r>
      <w:r>
        <w:rPr>
          <w:lang w:val="en-US"/>
        </w:rPr>
        <w:t>.</w:t>
      </w:r>
    </w:p>
    <w:p w:rsidR="006C5965" w:rsidRPr="00D01CE5" w:rsidRDefault="006C5965" w:rsidP="006C5965">
      <w:pPr>
        <w:pStyle w:val="EndnoteText"/>
      </w:pPr>
      <w:r>
        <w:rPr>
          <w:rStyle w:val="EndnoteReference"/>
          <w:rFonts w:eastAsiaTheme="majorEastAsia"/>
          <w:lang w:val="en-US"/>
        </w:rPr>
        <w:t>2</w:t>
      </w:r>
      <w:r w:rsidRPr="00416295">
        <w:rPr>
          <w:vertAlign w:val="superscript"/>
          <w:lang w:val="en-US"/>
        </w:rPr>
        <w:t>8</w:t>
      </w:r>
      <w:r w:rsidRPr="00D01CE5">
        <w:t xml:space="preserve"> Poggi MM, Danforth DN, et al., “Eighteen-Year Results in Treatment of Early Breast Carcinoma with Mastectomy versus Breast Conservation Therapy: The National Cancer Institute Randomized Trial”, Cancer, 2003; 98:697-702.</w:t>
      </w:r>
    </w:p>
    <w:p w:rsidR="006C5965" w:rsidRPr="00D01CE5" w:rsidRDefault="006C5965" w:rsidP="006C5965">
      <w:pPr>
        <w:pStyle w:val="EndnoteText"/>
      </w:pPr>
    </w:p>
    <w:p w:rsidR="006C5965" w:rsidRPr="00D01CE5" w:rsidRDefault="006C5965" w:rsidP="006C5965">
      <w:pPr>
        <w:pStyle w:val="EndnoteText"/>
      </w:pPr>
      <w:r>
        <w:rPr>
          <w:vertAlign w:val="superscript"/>
          <w:lang w:val="en-US"/>
        </w:rPr>
        <w:t>29</w:t>
      </w:r>
      <w:r w:rsidRPr="00D01CE5">
        <w:t xml:space="preserve"> Early Breast Cancer </w:t>
      </w:r>
      <w:proofErr w:type="spellStart"/>
      <w:r w:rsidRPr="00D01CE5">
        <w:t>Trialists</w:t>
      </w:r>
      <w:proofErr w:type="spellEnd"/>
      <w:r w:rsidRPr="00D01CE5">
        <w:t xml:space="preserve"> Group, “Effects of Chemotherapy and Hormonal Therapy for Early Breast Cancer on Recurrence and 15-Year Survival: An Overview of the Randomized Trials”, Lancet, 2005; 365:1687-1716.</w:t>
      </w:r>
    </w:p>
    <w:p w:rsidR="006C5965" w:rsidRPr="00D01CE5" w:rsidRDefault="006C5965" w:rsidP="006C5965">
      <w:pPr>
        <w:pStyle w:val="EndnoteText"/>
      </w:pPr>
    </w:p>
    <w:p w:rsidR="006C5965" w:rsidRPr="00D01CE5" w:rsidRDefault="006C5965" w:rsidP="006C5965">
      <w:pPr>
        <w:pStyle w:val="EndnoteText"/>
      </w:pPr>
      <w:r>
        <w:rPr>
          <w:vertAlign w:val="superscript"/>
          <w:lang w:val="en-US"/>
        </w:rPr>
        <w:t>30</w:t>
      </w:r>
      <w:r w:rsidRPr="00D01CE5">
        <w:t xml:space="preserve"> </w:t>
      </w:r>
      <w:proofErr w:type="spellStart"/>
      <w:r w:rsidRPr="00D01CE5">
        <w:t>Kudchadkar</w:t>
      </w:r>
      <w:proofErr w:type="spellEnd"/>
      <w:r w:rsidRPr="00D01CE5">
        <w:t xml:space="preserve"> R, </w:t>
      </w:r>
      <w:proofErr w:type="spellStart"/>
      <w:r w:rsidRPr="00D01CE5">
        <w:t>O’Regan</w:t>
      </w:r>
      <w:proofErr w:type="spellEnd"/>
      <w:r w:rsidRPr="00D01CE5">
        <w:t xml:space="preserve"> RM, “Aromatase Inhibitors as Adjuvant Therapy for Postmenopausal Patients with Early Stage Breast Cancer” CA Cancer J </w:t>
      </w:r>
      <w:proofErr w:type="spellStart"/>
      <w:r w:rsidRPr="00D01CE5">
        <w:t>Clin</w:t>
      </w:r>
      <w:proofErr w:type="spellEnd"/>
      <w:r w:rsidRPr="00D01CE5">
        <w:t>, 2005; 55:145-63.</w:t>
      </w:r>
    </w:p>
    <w:p w:rsidR="006C5965" w:rsidRPr="00D01CE5" w:rsidRDefault="006C5965" w:rsidP="006C5965">
      <w:pPr>
        <w:pStyle w:val="EndnoteText"/>
      </w:pPr>
      <w:r>
        <w:rPr>
          <w:vertAlign w:val="superscript"/>
          <w:lang w:val="en-US"/>
        </w:rPr>
        <w:t>31</w:t>
      </w:r>
      <w:r w:rsidRPr="00D01CE5">
        <w:t xml:space="preserve"> Baum M, </w:t>
      </w:r>
      <w:proofErr w:type="spellStart"/>
      <w:r w:rsidRPr="00D01CE5">
        <w:t>Buzdar</w:t>
      </w:r>
      <w:proofErr w:type="spellEnd"/>
      <w:r w:rsidRPr="00D01CE5">
        <w:t xml:space="preserve"> A, “The Current Status of Aromatase Inhibitors in the Management of Breast Cancer”, </w:t>
      </w:r>
      <w:proofErr w:type="spellStart"/>
      <w:r w:rsidRPr="00D01CE5">
        <w:t>Surg</w:t>
      </w:r>
      <w:proofErr w:type="spellEnd"/>
      <w:r w:rsidRPr="00D01CE5">
        <w:t xml:space="preserve"> </w:t>
      </w:r>
      <w:proofErr w:type="spellStart"/>
      <w:r w:rsidRPr="00D01CE5">
        <w:t>Clin</w:t>
      </w:r>
      <w:proofErr w:type="spellEnd"/>
      <w:r w:rsidRPr="00D01CE5">
        <w:t xml:space="preserve"> North Am, 2003; 83:973-994.</w:t>
      </w:r>
    </w:p>
    <w:p w:rsidR="006C5965" w:rsidRPr="00D01CE5" w:rsidRDefault="006C5965" w:rsidP="006C5965">
      <w:pPr>
        <w:pStyle w:val="EndnoteText"/>
      </w:pPr>
    </w:p>
    <w:p w:rsidR="006C5965" w:rsidRPr="00D01CE5" w:rsidRDefault="006C5965" w:rsidP="006C5965">
      <w:pPr>
        <w:pStyle w:val="EndnoteText"/>
      </w:pPr>
      <w:r>
        <w:rPr>
          <w:vertAlign w:val="superscript"/>
          <w:lang w:val="en-US"/>
        </w:rPr>
        <w:t>32</w:t>
      </w:r>
      <w:r w:rsidRPr="00D01CE5">
        <w:t xml:space="preserve"> Joensuu H, </w:t>
      </w:r>
      <w:proofErr w:type="spellStart"/>
      <w:r w:rsidRPr="00D01CE5">
        <w:t>Ejlertsen</w:t>
      </w:r>
      <w:proofErr w:type="spellEnd"/>
      <w:r w:rsidRPr="00D01CE5">
        <w:t xml:space="preserve"> B, et al., “Aromatase Inhibitors in the Treatment of Early and Advanced Breast Cancer”, </w:t>
      </w:r>
      <w:proofErr w:type="spellStart"/>
      <w:r w:rsidRPr="00D01CE5">
        <w:t>Acta</w:t>
      </w:r>
      <w:proofErr w:type="spellEnd"/>
      <w:r w:rsidRPr="00D01CE5">
        <w:t xml:space="preserve"> </w:t>
      </w:r>
      <w:proofErr w:type="spellStart"/>
      <w:r w:rsidRPr="00D01CE5">
        <w:t>Oncologica</w:t>
      </w:r>
      <w:proofErr w:type="spellEnd"/>
      <w:r w:rsidRPr="00D01CE5">
        <w:t>, 2005; 44:23-31.</w:t>
      </w:r>
    </w:p>
    <w:p w:rsidR="006C5965" w:rsidRPr="00D01CE5" w:rsidRDefault="006C5965" w:rsidP="006C5965">
      <w:pPr>
        <w:pStyle w:val="EndnoteText"/>
      </w:pPr>
    </w:p>
    <w:p w:rsidR="006C5965" w:rsidRPr="00D01CE5" w:rsidRDefault="006C5965" w:rsidP="006C5965">
      <w:pPr>
        <w:pStyle w:val="EndnoteText"/>
      </w:pPr>
      <w:r>
        <w:rPr>
          <w:vertAlign w:val="superscript"/>
          <w:lang w:val="en-US"/>
        </w:rPr>
        <w:t>33</w:t>
      </w:r>
      <w:r w:rsidRPr="00D01CE5">
        <w:t xml:space="preserve"> Rosen PP, </w:t>
      </w:r>
      <w:proofErr w:type="spellStart"/>
      <w:r w:rsidRPr="00D01CE5">
        <w:t>Groshen</w:t>
      </w:r>
      <w:proofErr w:type="spellEnd"/>
      <w:r w:rsidRPr="00D01CE5">
        <w:t xml:space="preserve"> S, et al., “Pathological Prognostic Factors in Stage I (T10M0) and Stage II (T1N1M)) Breast Carcinoma: A Study of 44 Patients with Median Follow-p of 18 Years”, J </w:t>
      </w:r>
      <w:proofErr w:type="spellStart"/>
      <w:r w:rsidRPr="00D01CE5">
        <w:t>Clin</w:t>
      </w:r>
      <w:proofErr w:type="spellEnd"/>
      <w:r w:rsidRPr="00D01CE5">
        <w:t xml:space="preserve"> </w:t>
      </w:r>
      <w:proofErr w:type="spellStart"/>
      <w:r w:rsidRPr="00D01CE5">
        <w:t>Oncol</w:t>
      </w:r>
      <w:proofErr w:type="spellEnd"/>
      <w:r w:rsidRPr="00D01CE5">
        <w:t>, 1989; 7:1239-1251.</w:t>
      </w:r>
    </w:p>
    <w:p w:rsidR="006C5965" w:rsidRPr="00D01CE5" w:rsidRDefault="006C5965" w:rsidP="006C5965">
      <w:pPr>
        <w:pStyle w:val="EndnoteText"/>
      </w:pPr>
      <w:r>
        <w:rPr>
          <w:vertAlign w:val="superscript"/>
          <w:lang w:val="en-US"/>
        </w:rPr>
        <w:t>34</w:t>
      </w:r>
      <w:r w:rsidRPr="00D01CE5">
        <w:t xml:space="preserve"> Renner H, </w:t>
      </w:r>
      <w:proofErr w:type="spellStart"/>
      <w:r w:rsidRPr="00D01CE5">
        <w:t>Hakulinen</w:t>
      </w:r>
      <w:proofErr w:type="spellEnd"/>
      <w:r w:rsidRPr="00D01CE5">
        <w:t xml:space="preserve"> T, “Are Patients Diagnosed with Breast Cancer Before Ag 50 Years Ever Cured</w:t>
      </w:r>
      <w:proofErr w:type="gramStart"/>
      <w:r w:rsidRPr="00D01CE5">
        <w:t>?,</w:t>
      </w:r>
      <w:proofErr w:type="gramEnd"/>
      <w:r w:rsidRPr="00D01CE5">
        <w:t xml:space="preserve"> J </w:t>
      </w:r>
      <w:proofErr w:type="spellStart"/>
      <w:r w:rsidRPr="00D01CE5">
        <w:t>Clin</w:t>
      </w:r>
      <w:proofErr w:type="spellEnd"/>
      <w:r w:rsidRPr="00D01CE5">
        <w:t xml:space="preserve"> </w:t>
      </w:r>
      <w:proofErr w:type="spellStart"/>
      <w:r w:rsidRPr="00D01CE5">
        <w:t>Oncol</w:t>
      </w:r>
      <w:proofErr w:type="spellEnd"/>
      <w:r w:rsidRPr="00D01CE5">
        <w:t>, 2004; 22:432-438.</w:t>
      </w:r>
    </w:p>
    <w:p w:rsidR="006C5965" w:rsidRPr="00D01CE5" w:rsidRDefault="006C5965" w:rsidP="006C5965">
      <w:pPr>
        <w:pStyle w:val="EndnoteText"/>
      </w:pPr>
    </w:p>
    <w:p w:rsidR="006C5965" w:rsidRPr="00D01CE5" w:rsidRDefault="006C5965" w:rsidP="006C5965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35</w:t>
      </w:r>
      <w:r w:rsidRPr="00D01CE5">
        <w:rPr>
          <w:sz w:val="20"/>
          <w:szCs w:val="20"/>
        </w:rPr>
        <w:t xml:space="preserve"> Surveillance, Epidemiology, and End Results (SEER) Program Public-Use Data (1973-1999). National Cancer Institute, DCCPS, Surveillance Research Program. Cancer Statistics Branch. Released April 2002. Based on November 2001 Submission.</w:t>
      </w:r>
    </w:p>
    <w:p w:rsidR="006C5965" w:rsidRPr="00D01CE5" w:rsidRDefault="006C5965" w:rsidP="006C5965">
      <w:pPr>
        <w:rPr>
          <w:sz w:val="20"/>
          <w:szCs w:val="20"/>
        </w:rPr>
      </w:pPr>
    </w:p>
    <w:p w:rsidR="006C5965" w:rsidRPr="00D01CE5" w:rsidRDefault="006C5965" w:rsidP="006C5965">
      <w:pPr>
        <w:pStyle w:val="EndnoteText"/>
      </w:pPr>
      <w:r>
        <w:rPr>
          <w:vertAlign w:val="superscript"/>
          <w:lang w:val="en-US"/>
        </w:rPr>
        <w:t>36</w:t>
      </w:r>
      <w:r w:rsidRPr="00D01CE5">
        <w:t xml:space="preserve"> Joensuu H, </w:t>
      </w:r>
      <w:proofErr w:type="spellStart"/>
      <w:r w:rsidRPr="00D01CE5">
        <w:t>Pylkkanen</w:t>
      </w:r>
      <w:proofErr w:type="spellEnd"/>
      <w:r w:rsidRPr="00D01CE5">
        <w:t xml:space="preserve"> L, </w:t>
      </w:r>
      <w:proofErr w:type="spellStart"/>
      <w:r w:rsidRPr="00D01CE5">
        <w:t>Toikkanen</w:t>
      </w:r>
      <w:proofErr w:type="spellEnd"/>
      <w:r w:rsidRPr="00D01CE5">
        <w:t xml:space="preserve"> S, “Late Mortality from pT1N0M0 Breast Carcinoma”, Cancer, 199; 85:2183-9.</w:t>
      </w:r>
      <w:r>
        <w:rPr>
          <w:vertAlign w:val="superscript"/>
          <w:lang w:val="en-US"/>
        </w:rPr>
        <w:t>37</w:t>
      </w:r>
      <w:r w:rsidRPr="00D01CE5">
        <w:rPr>
          <w:rStyle w:val="EndnoteReference"/>
          <w:rFonts w:eastAsiaTheme="majorEastAsia"/>
        </w:rPr>
        <w:footnoteRef/>
      </w:r>
      <w:r w:rsidRPr="00D01CE5">
        <w:t xml:space="preserve"> </w:t>
      </w:r>
      <w:proofErr w:type="spellStart"/>
      <w:r w:rsidRPr="00D01CE5">
        <w:t>Boukheris</w:t>
      </w:r>
      <w:proofErr w:type="spellEnd"/>
      <w:r w:rsidRPr="00D01CE5">
        <w:t xml:space="preserve"> H, </w:t>
      </w:r>
      <w:proofErr w:type="spellStart"/>
      <w:r w:rsidRPr="00D01CE5">
        <w:t>Rubinao</w:t>
      </w:r>
      <w:proofErr w:type="spellEnd"/>
      <w:r w:rsidRPr="00D01CE5">
        <w:t xml:space="preserve"> C, et al., “Long-Term Mortality in a Cohort Study of 6,800 French Breast Cancer Patients Treated Between 1954 and 1983”, </w:t>
      </w:r>
      <w:proofErr w:type="spellStart"/>
      <w:r w:rsidRPr="00D01CE5">
        <w:t>Acta</w:t>
      </w:r>
      <w:proofErr w:type="spellEnd"/>
      <w:r w:rsidRPr="00D01CE5">
        <w:t xml:space="preserve"> </w:t>
      </w:r>
      <w:proofErr w:type="spellStart"/>
      <w:r w:rsidRPr="00D01CE5">
        <w:t>Oncologica</w:t>
      </w:r>
      <w:proofErr w:type="spellEnd"/>
      <w:r w:rsidRPr="00D01CE5">
        <w:t>, 2008; 47:1122-1132.</w:t>
      </w:r>
    </w:p>
    <w:p w:rsidR="006C5965" w:rsidRPr="00D01CE5" w:rsidRDefault="006C5965" w:rsidP="006C5965">
      <w:pPr>
        <w:pStyle w:val="EndnoteText"/>
      </w:pPr>
      <w:r>
        <w:rPr>
          <w:vertAlign w:val="superscript"/>
          <w:lang w:val="en-US"/>
        </w:rPr>
        <w:t>38</w:t>
      </w:r>
      <w:r w:rsidRPr="00D01CE5">
        <w:t xml:space="preserve">Levi F, </w:t>
      </w:r>
      <w:proofErr w:type="spellStart"/>
      <w:r w:rsidRPr="00D01CE5">
        <w:t>Randimbison</w:t>
      </w:r>
      <w:proofErr w:type="spellEnd"/>
      <w:r w:rsidRPr="00D01CE5">
        <w:t xml:space="preserve"> L, et al., “Long-Term Mortality of Women with a Diagnosis of Breast Cancer”, Oncology, 2002; 63:266-269.</w:t>
      </w:r>
    </w:p>
    <w:p w:rsidR="006C5965" w:rsidRPr="00D01CE5" w:rsidRDefault="006C5965" w:rsidP="006C5965">
      <w:pPr>
        <w:pStyle w:val="EndnoteText"/>
      </w:pPr>
      <w:r w:rsidRPr="00D01CE5">
        <w:t xml:space="preserve"> </w:t>
      </w:r>
    </w:p>
    <w:p w:rsidR="006C5965" w:rsidRPr="00D01CE5" w:rsidRDefault="006C5965" w:rsidP="006C5965">
      <w:pPr>
        <w:pStyle w:val="EndnoteText"/>
      </w:pPr>
      <w:r>
        <w:rPr>
          <w:vertAlign w:val="superscript"/>
          <w:lang w:val="en-US"/>
        </w:rPr>
        <w:lastRenderedPageBreak/>
        <w:t>39</w:t>
      </w:r>
      <w:r w:rsidRPr="00D01CE5">
        <w:t xml:space="preserve"> </w:t>
      </w:r>
      <w:proofErr w:type="spellStart"/>
      <w:r w:rsidRPr="00D01CE5">
        <w:t>Louwman</w:t>
      </w:r>
      <w:proofErr w:type="spellEnd"/>
      <w:r w:rsidRPr="00D01CE5">
        <w:t xml:space="preserve"> WJ, </w:t>
      </w:r>
      <w:proofErr w:type="spellStart"/>
      <w:r w:rsidRPr="00D01CE5">
        <w:t>Klokman</w:t>
      </w:r>
      <w:proofErr w:type="spellEnd"/>
      <w:r w:rsidRPr="00D01CE5">
        <w:t xml:space="preserve"> WJ, et al., “Excess Mortality </w:t>
      </w:r>
      <w:proofErr w:type="gramStart"/>
      <w:r w:rsidRPr="00D01CE5">
        <w:t>From Breast Cancer 20 Years After</w:t>
      </w:r>
      <w:proofErr w:type="gramEnd"/>
      <w:r w:rsidRPr="00D01CE5">
        <w:t xml:space="preserve"> Diagnosis When Life Expectancy is Normal”, Br J Cancer, 2001; 84:700-703.</w:t>
      </w:r>
    </w:p>
    <w:p w:rsidR="006C5965" w:rsidRPr="00D01CE5" w:rsidRDefault="006C5965" w:rsidP="006C5965">
      <w:pPr>
        <w:pStyle w:val="EndnoteText"/>
      </w:pPr>
    </w:p>
    <w:p w:rsidR="006C5965" w:rsidRPr="00D01CE5" w:rsidRDefault="006C5965" w:rsidP="006C5965">
      <w:pPr>
        <w:pStyle w:val="EndnoteText"/>
      </w:pPr>
      <w:r>
        <w:rPr>
          <w:vertAlign w:val="superscript"/>
          <w:lang w:val="en-US"/>
        </w:rPr>
        <w:t>40</w:t>
      </w:r>
      <w:r w:rsidRPr="00D01CE5">
        <w:t xml:space="preserve"> Taylor R, Davis P, et al., “Long-Term Survival of Women with Breast Cancer in New South Wales”, </w:t>
      </w:r>
      <w:proofErr w:type="spellStart"/>
      <w:r w:rsidRPr="00D01CE5">
        <w:t>Eur</w:t>
      </w:r>
      <w:proofErr w:type="spellEnd"/>
      <w:r w:rsidRPr="00D01CE5">
        <w:t xml:space="preserve"> J Cancer, 2003; 39:215-222.</w:t>
      </w:r>
    </w:p>
    <w:p w:rsidR="006C5965" w:rsidRPr="00D01CE5" w:rsidRDefault="006C5965" w:rsidP="006C5965">
      <w:pPr>
        <w:pStyle w:val="EndnoteText"/>
      </w:pPr>
    </w:p>
    <w:p w:rsidR="006C5965" w:rsidRPr="00D01CE5" w:rsidRDefault="006C5965" w:rsidP="006C5965">
      <w:pPr>
        <w:pStyle w:val="EndnoteText"/>
      </w:pPr>
      <w:r>
        <w:rPr>
          <w:vertAlign w:val="superscript"/>
          <w:lang w:val="en-US"/>
        </w:rPr>
        <w:t>41</w:t>
      </w:r>
      <w:r w:rsidRPr="00D01CE5">
        <w:rPr>
          <w:rStyle w:val="EndnoteReference"/>
          <w:rFonts w:eastAsiaTheme="majorEastAsia"/>
        </w:rPr>
        <w:footnoteRef/>
      </w:r>
      <w:r w:rsidRPr="00D01CE5">
        <w:t xml:space="preserve"> </w:t>
      </w:r>
      <w:r w:rsidRPr="00845DE7">
        <w:t>Pan</w:t>
      </w:r>
      <w:r>
        <w:rPr>
          <w:lang w:val="en-US"/>
        </w:rPr>
        <w:t xml:space="preserve"> H, </w:t>
      </w:r>
      <w:r w:rsidRPr="00845DE7">
        <w:t>Gray</w:t>
      </w:r>
      <w:r>
        <w:rPr>
          <w:lang w:val="en-US"/>
        </w:rPr>
        <w:t xml:space="preserve"> R</w:t>
      </w:r>
      <w:r w:rsidRPr="00845DE7">
        <w:t xml:space="preserve">, </w:t>
      </w:r>
      <w:proofErr w:type="spellStart"/>
      <w:r w:rsidRPr="00845DE7">
        <w:t>Braybrooke</w:t>
      </w:r>
      <w:proofErr w:type="spellEnd"/>
      <w:r>
        <w:rPr>
          <w:lang w:val="en-US"/>
        </w:rPr>
        <w:t xml:space="preserve"> J, et al. </w:t>
      </w:r>
      <w:proofErr w:type="spellStart"/>
      <w:r w:rsidRPr="00D01CE5">
        <w:t>Saphner</w:t>
      </w:r>
      <w:proofErr w:type="spellEnd"/>
      <w:r w:rsidRPr="00D01CE5">
        <w:t xml:space="preserve"> T, </w:t>
      </w:r>
      <w:proofErr w:type="spellStart"/>
      <w:r w:rsidRPr="00D01CE5">
        <w:t>Tormey</w:t>
      </w:r>
      <w:proofErr w:type="spellEnd"/>
      <w:r w:rsidRPr="00D01CE5">
        <w:t xml:space="preserve"> D, Gray R, “</w:t>
      </w:r>
      <w:r>
        <w:t>20-Year Risks of Breast-Cancer Recurrence</w:t>
      </w:r>
      <w:r>
        <w:rPr>
          <w:lang w:val="en-US"/>
        </w:rPr>
        <w:t xml:space="preserve"> </w:t>
      </w:r>
      <w:r>
        <w:t xml:space="preserve">after Stopping Endocrine Therapy at 5 </w:t>
      </w:r>
      <w:proofErr w:type="spellStart"/>
      <w:r>
        <w:t>Years</w:t>
      </w:r>
      <w:r w:rsidRPr="00D01CE5">
        <w:t>Annual</w:t>
      </w:r>
      <w:proofErr w:type="spellEnd"/>
      <w:r w:rsidRPr="00D01CE5">
        <w:t xml:space="preserve"> Hazard Rates of Recurrence for Breast Cancer After Primary Therapy”, J </w:t>
      </w:r>
      <w:r w:rsidRPr="00845DE7">
        <w:t xml:space="preserve">N </w:t>
      </w:r>
      <w:proofErr w:type="spellStart"/>
      <w:r w:rsidRPr="00845DE7">
        <w:t>Engl</w:t>
      </w:r>
      <w:proofErr w:type="spellEnd"/>
      <w:r w:rsidRPr="00845DE7">
        <w:t xml:space="preserve"> J Med 2017;377:1836-46.</w:t>
      </w:r>
      <w:r w:rsidRPr="00D01CE5">
        <w:t xml:space="preserve">Clin </w:t>
      </w:r>
      <w:proofErr w:type="spellStart"/>
      <w:r w:rsidRPr="00D01CE5">
        <w:t>Oncol</w:t>
      </w:r>
      <w:proofErr w:type="spellEnd"/>
      <w:r w:rsidRPr="00D01CE5">
        <w:t>, 1996; 14:2378-46.</w:t>
      </w:r>
    </w:p>
    <w:p w:rsidR="006C5965" w:rsidRPr="00D01CE5" w:rsidRDefault="006C5965" w:rsidP="006C5965">
      <w:pPr>
        <w:pStyle w:val="EndnoteText"/>
      </w:pPr>
      <w:r>
        <w:rPr>
          <w:vertAlign w:val="superscript"/>
          <w:lang w:val="en-US"/>
        </w:rPr>
        <w:t>42</w:t>
      </w:r>
      <w:r w:rsidRPr="00D01CE5">
        <w:t xml:space="preserve"> Yakovlev AY, </w:t>
      </w:r>
      <w:proofErr w:type="spellStart"/>
      <w:r w:rsidRPr="00D01CE5">
        <w:t>Tsodikov</w:t>
      </w:r>
      <w:proofErr w:type="spellEnd"/>
      <w:r w:rsidRPr="00D01CE5">
        <w:t xml:space="preserve"> AD, et al., “The Shape of the Hazard Function in Breast Carcinoma: Curability of the Disease Revisited”, Cancer, 1999; 85:1789-98.</w:t>
      </w:r>
    </w:p>
    <w:p w:rsidR="006C5965" w:rsidRDefault="006C5965" w:rsidP="006C5965">
      <w:pPr>
        <w:pStyle w:val="EndnoteText"/>
      </w:pPr>
    </w:p>
    <w:p w:rsidR="00554EE3" w:rsidRDefault="00554EE3" w:rsidP="006C5965">
      <w:pPr>
        <w:pStyle w:val="EndnoteText"/>
      </w:pPr>
    </w:p>
    <w:p w:rsidR="00554EE3" w:rsidRDefault="00554EE3" w:rsidP="006C5965">
      <w:pPr>
        <w:pStyle w:val="EndnoteText"/>
      </w:pPr>
    </w:p>
    <w:p w:rsidR="00554EE3" w:rsidRPr="00554EE3" w:rsidRDefault="00554EE3" w:rsidP="006C5965">
      <w:pPr>
        <w:pStyle w:val="EndnoteText"/>
        <w:rPr>
          <w:rFonts w:ascii="Arial" w:hAnsi="Arial" w:cs="Arial"/>
          <w:color w:val="00B0F0"/>
          <w:sz w:val="22"/>
          <w:szCs w:val="22"/>
          <w:lang w:val="en-US"/>
        </w:rPr>
      </w:pPr>
      <w:r w:rsidRPr="00554EE3">
        <w:rPr>
          <w:rFonts w:ascii="Arial" w:hAnsi="Arial" w:cs="Arial"/>
          <w:color w:val="00B0F0"/>
          <w:sz w:val="22"/>
          <w:szCs w:val="22"/>
          <w:lang w:val="en-US"/>
        </w:rPr>
        <w:t>Malignant Melanoma:</w:t>
      </w:r>
    </w:p>
    <w:p w:rsidR="00554EE3" w:rsidRDefault="00554EE3" w:rsidP="006C5965">
      <w:pPr>
        <w:pStyle w:val="EndnoteText"/>
        <w:rPr>
          <w:lang w:val="en-US"/>
        </w:rPr>
      </w:pPr>
    </w:p>
    <w:p w:rsidR="00554EE3" w:rsidRPr="00D75B24" w:rsidRDefault="00554EE3" w:rsidP="00554EE3">
      <w:pPr>
        <w:jc w:val="center"/>
        <w:rPr>
          <w:b/>
          <w:sz w:val="20"/>
        </w:rPr>
      </w:pPr>
      <w:r w:rsidRPr="00D75B24">
        <w:rPr>
          <w:b/>
          <w:sz w:val="20"/>
        </w:rPr>
        <w:t>Endnotes – Malignant Melanoma</w:t>
      </w:r>
    </w:p>
    <w:p w:rsidR="00554EE3" w:rsidRDefault="00554EE3" w:rsidP="00554EE3">
      <w:pPr>
        <w:pStyle w:val="EndnoteText"/>
      </w:pPr>
    </w:p>
    <w:p w:rsidR="00554EE3" w:rsidRPr="00D75B24" w:rsidRDefault="00554EE3" w:rsidP="00554EE3">
      <w:pPr>
        <w:pStyle w:val="EndnoteText"/>
      </w:pPr>
    </w:p>
    <w:p w:rsidR="00554EE3" w:rsidRPr="00D75B24" w:rsidRDefault="00554EE3" w:rsidP="00554EE3">
      <w:pPr>
        <w:pStyle w:val="EndnoteText"/>
      </w:pPr>
    </w:p>
    <w:p w:rsidR="00554EE3" w:rsidRPr="00D75B24" w:rsidRDefault="00554EE3" w:rsidP="00554EE3">
      <w:pPr>
        <w:pStyle w:val="EndnoteText"/>
      </w:pPr>
      <w:r w:rsidRPr="00D75B24">
        <w:rPr>
          <w:rStyle w:val="EndnoteReference"/>
          <w:rFonts w:eastAsiaTheme="majorEastAsia"/>
        </w:rPr>
        <w:footnoteRef/>
      </w:r>
      <w:r w:rsidRPr="00D75B24">
        <w:t xml:space="preserve"> Siegel R, </w:t>
      </w:r>
      <w:r>
        <w:t>Miller K</w:t>
      </w:r>
      <w:r w:rsidRPr="00D75B24">
        <w:t xml:space="preserve">D, </w:t>
      </w:r>
      <w:proofErr w:type="spellStart"/>
      <w:r w:rsidRPr="00D75B24">
        <w:t>Jemal</w:t>
      </w:r>
      <w:proofErr w:type="spellEnd"/>
      <w:r w:rsidRPr="00D75B24">
        <w:t xml:space="preserve"> A, “Cancer Statistics, 201</w:t>
      </w:r>
      <w:r>
        <w:t>9</w:t>
      </w:r>
      <w:r w:rsidRPr="00D75B24">
        <w:t xml:space="preserve">”, CA Cancer J </w:t>
      </w:r>
      <w:proofErr w:type="spellStart"/>
      <w:r w:rsidRPr="00D75B24">
        <w:t>Clin</w:t>
      </w:r>
      <w:proofErr w:type="spellEnd"/>
      <w:r w:rsidRPr="00D75B24">
        <w:t xml:space="preserve">, </w:t>
      </w:r>
      <w:r w:rsidRPr="00A43D4B">
        <w:t>2019;0:1–28</w:t>
      </w:r>
      <w:r>
        <w:t>.</w:t>
      </w:r>
    </w:p>
    <w:p w:rsidR="00554EE3" w:rsidRPr="00D75B24" w:rsidRDefault="00554EE3" w:rsidP="00554EE3">
      <w:pPr>
        <w:pStyle w:val="EndnoteText"/>
      </w:pPr>
    </w:p>
    <w:p w:rsidR="00554EE3" w:rsidRPr="00D75B24" w:rsidRDefault="00554EE3" w:rsidP="00554EE3">
      <w:pPr>
        <w:pStyle w:val="EndnoteText"/>
      </w:pPr>
      <w:r w:rsidRPr="00D75B24">
        <w:rPr>
          <w:rStyle w:val="EndnoteReference"/>
          <w:rFonts w:eastAsiaTheme="majorEastAsia"/>
        </w:rPr>
        <w:footnoteRef/>
      </w:r>
      <w:r w:rsidRPr="00D75B24">
        <w:t xml:space="preserve"> </w:t>
      </w:r>
      <w:proofErr w:type="spellStart"/>
      <w:r w:rsidRPr="008139E7">
        <w:t>Howlader</w:t>
      </w:r>
      <w:proofErr w:type="spellEnd"/>
      <w:r w:rsidRPr="008139E7">
        <w:t xml:space="preserve"> N, </w:t>
      </w:r>
      <w:proofErr w:type="spellStart"/>
      <w:r w:rsidRPr="008139E7">
        <w:t>Noone</w:t>
      </w:r>
      <w:proofErr w:type="spellEnd"/>
      <w:r w:rsidRPr="008139E7">
        <w:t xml:space="preserve"> AM, </w:t>
      </w:r>
      <w:proofErr w:type="spellStart"/>
      <w:r w:rsidRPr="008139E7">
        <w:t>Krapcho</w:t>
      </w:r>
      <w:proofErr w:type="spellEnd"/>
      <w:r w:rsidRPr="008139E7">
        <w:t xml:space="preserve"> M, </w:t>
      </w:r>
      <w:proofErr w:type="spellStart"/>
      <w:r w:rsidRPr="008139E7">
        <w:t>Garshell</w:t>
      </w:r>
      <w:proofErr w:type="spellEnd"/>
      <w:r w:rsidRPr="008139E7">
        <w:t xml:space="preserve"> J, Miller D, </w:t>
      </w:r>
      <w:proofErr w:type="spellStart"/>
      <w:r w:rsidRPr="008139E7">
        <w:t>Altekruse</w:t>
      </w:r>
      <w:proofErr w:type="spellEnd"/>
      <w:r w:rsidRPr="008139E7">
        <w:t xml:space="preserve"> SF, </w:t>
      </w:r>
      <w:proofErr w:type="spellStart"/>
      <w:r w:rsidRPr="008139E7">
        <w:t>Kosary</w:t>
      </w:r>
      <w:proofErr w:type="spellEnd"/>
      <w:r w:rsidRPr="008139E7">
        <w:t xml:space="preserve"> CL, Yu M, </w:t>
      </w:r>
      <w:proofErr w:type="spellStart"/>
      <w:r w:rsidRPr="008139E7">
        <w:t>Ruhl</w:t>
      </w:r>
      <w:proofErr w:type="spellEnd"/>
      <w:r w:rsidRPr="008139E7">
        <w:t xml:space="preserve"> J, </w:t>
      </w:r>
      <w:proofErr w:type="spellStart"/>
      <w:r w:rsidRPr="008139E7">
        <w:t>Tatalovich</w:t>
      </w:r>
      <w:proofErr w:type="spellEnd"/>
      <w:r w:rsidRPr="008139E7">
        <w:t xml:space="preserve"> Z,</w:t>
      </w:r>
      <w:r>
        <w:t xml:space="preserve"> </w:t>
      </w:r>
      <w:proofErr w:type="spellStart"/>
      <w:r w:rsidRPr="008139E7">
        <w:t>Mariotto</w:t>
      </w:r>
      <w:proofErr w:type="spellEnd"/>
      <w:r w:rsidRPr="008139E7">
        <w:t xml:space="preserve"> A, Lewis DR, Chen HS, </w:t>
      </w:r>
      <w:proofErr w:type="spellStart"/>
      <w:r w:rsidRPr="008139E7">
        <w:t>Feuer</w:t>
      </w:r>
      <w:proofErr w:type="spellEnd"/>
      <w:r w:rsidRPr="008139E7">
        <w:t xml:space="preserve"> EJ, Cronin KA (</w:t>
      </w:r>
      <w:proofErr w:type="spellStart"/>
      <w:r w:rsidRPr="008139E7">
        <w:t>eds</w:t>
      </w:r>
      <w:proofErr w:type="spellEnd"/>
      <w:r w:rsidRPr="008139E7">
        <w:t xml:space="preserve">). SEER Cancer Statistics Review, 1975-2012, National Cancer Institute. Bethesda, MD, </w:t>
      </w:r>
      <w:hyperlink r:id="rId9" w:history="1">
        <w:r w:rsidRPr="008139E7">
          <w:t>http://seer.cancer.gov/csr/1975_2012/</w:t>
        </w:r>
      </w:hyperlink>
      <w:r w:rsidRPr="008139E7">
        <w:t>, based on November 2014 SEER data submission, posted to the SEER web site, April 2015</w:t>
      </w:r>
      <w:r>
        <w:rPr>
          <w:rFonts w:ascii="Lucida Sans Unicode" w:hAnsi="Lucida Sans Unicode" w:cs="Lucida Sans Unicode"/>
          <w:color w:val="444444"/>
          <w:sz w:val="19"/>
          <w:szCs w:val="19"/>
        </w:rPr>
        <w:t>.</w:t>
      </w:r>
      <w:r w:rsidRPr="00D75B24">
        <w:t>.</w:t>
      </w:r>
    </w:p>
    <w:p w:rsidR="00554EE3" w:rsidRPr="00D75B24" w:rsidRDefault="00554EE3" w:rsidP="00554EE3">
      <w:pPr>
        <w:jc w:val="center"/>
        <w:rPr>
          <w:b/>
          <w:sz w:val="20"/>
          <w:szCs w:val="20"/>
        </w:rPr>
      </w:pPr>
    </w:p>
    <w:p w:rsidR="00554EE3" w:rsidRPr="00D75B24" w:rsidRDefault="00554EE3" w:rsidP="00554EE3">
      <w:pPr>
        <w:rPr>
          <w:sz w:val="20"/>
          <w:szCs w:val="20"/>
        </w:rPr>
      </w:pPr>
      <w:r w:rsidRPr="00D75B24">
        <w:rPr>
          <w:rStyle w:val="EndnoteReference"/>
          <w:rFonts w:eastAsiaTheme="majorEastAsia"/>
          <w:szCs w:val="20"/>
        </w:rPr>
        <w:footnoteRef/>
      </w:r>
      <w:r w:rsidRPr="00D75B24">
        <w:rPr>
          <w:sz w:val="20"/>
          <w:szCs w:val="20"/>
        </w:rPr>
        <w:t xml:space="preserve"> </w:t>
      </w:r>
      <w:proofErr w:type="spellStart"/>
      <w:r w:rsidRPr="00D75B24">
        <w:rPr>
          <w:sz w:val="20"/>
          <w:szCs w:val="20"/>
        </w:rPr>
        <w:t>Kanzler</w:t>
      </w:r>
      <w:proofErr w:type="spellEnd"/>
      <w:r w:rsidRPr="00D75B24">
        <w:rPr>
          <w:sz w:val="20"/>
          <w:szCs w:val="20"/>
        </w:rPr>
        <w:t xml:space="preserve"> MH, Mraz-</w:t>
      </w:r>
      <w:proofErr w:type="spellStart"/>
      <w:r w:rsidRPr="00D75B24">
        <w:rPr>
          <w:sz w:val="20"/>
          <w:szCs w:val="20"/>
        </w:rPr>
        <w:t>Gernhard</w:t>
      </w:r>
      <w:proofErr w:type="spellEnd"/>
      <w:r w:rsidRPr="00D75B24">
        <w:rPr>
          <w:sz w:val="20"/>
          <w:szCs w:val="20"/>
        </w:rPr>
        <w:t xml:space="preserve"> S. Primary cutaneous malignant melanoma and its precursor lesions: Diagnostic and therapeutic overview. </w:t>
      </w:r>
      <w:r w:rsidRPr="00D75B24">
        <w:rPr>
          <w:i/>
          <w:iCs/>
          <w:sz w:val="20"/>
          <w:szCs w:val="20"/>
        </w:rPr>
        <w:t xml:space="preserve">J Am </w:t>
      </w:r>
      <w:proofErr w:type="spellStart"/>
      <w:r w:rsidRPr="00D75B24">
        <w:rPr>
          <w:i/>
          <w:iCs/>
          <w:sz w:val="20"/>
          <w:szCs w:val="20"/>
        </w:rPr>
        <w:t>Acad</w:t>
      </w:r>
      <w:proofErr w:type="spellEnd"/>
      <w:r w:rsidRPr="00D75B24">
        <w:rPr>
          <w:i/>
          <w:iCs/>
          <w:sz w:val="20"/>
          <w:szCs w:val="20"/>
        </w:rPr>
        <w:t xml:space="preserve"> </w:t>
      </w:r>
      <w:proofErr w:type="spellStart"/>
      <w:r w:rsidRPr="00D75B24">
        <w:rPr>
          <w:i/>
          <w:iCs/>
          <w:sz w:val="20"/>
          <w:szCs w:val="20"/>
        </w:rPr>
        <w:t>Dermatol</w:t>
      </w:r>
      <w:proofErr w:type="spellEnd"/>
      <w:r w:rsidRPr="00D75B24">
        <w:rPr>
          <w:sz w:val="20"/>
          <w:szCs w:val="20"/>
        </w:rPr>
        <w:t>. 2001</w:t>
      </w:r>
      <w:proofErr w:type="gramStart"/>
      <w:r w:rsidRPr="00D75B24">
        <w:rPr>
          <w:sz w:val="20"/>
          <w:szCs w:val="20"/>
        </w:rPr>
        <w:t>;45:260</w:t>
      </w:r>
      <w:proofErr w:type="gramEnd"/>
      <w:r w:rsidRPr="00D75B24">
        <w:rPr>
          <w:sz w:val="20"/>
          <w:szCs w:val="20"/>
        </w:rPr>
        <w:t>-276.</w:t>
      </w:r>
    </w:p>
    <w:p w:rsidR="00554EE3" w:rsidRPr="00D75B24" w:rsidRDefault="00554EE3" w:rsidP="00554EE3">
      <w:pPr>
        <w:rPr>
          <w:sz w:val="20"/>
          <w:szCs w:val="20"/>
        </w:rPr>
      </w:pPr>
    </w:p>
    <w:p w:rsidR="00554EE3" w:rsidRDefault="00554EE3" w:rsidP="00554EE3">
      <w:pPr>
        <w:pStyle w:val="EndnoteText"/>
      </w:pPr>
      <w:r>
        <w:rPr>
          <w:rStyle w:val="EndnoteReference"/>
          <w:rFonts w:eastAsiaTheme="majorEastAsia"/>
        </w:rPr>
        <w:footnoteRef/>
      </w:r>
      <w:r>
        <w:t xml:space="preserve"> </w:t>
      </w:r>
      <w:proofErr w:type="spellStart"/>
      <w:r>
        <w:t>Azoury</w:t>
      </w:r>
      <w:proofErr w:type="spellEnd"/>
      <w:r>
        <w:t xml:space="preserve"> SC, Lange JR, “Epidemiology, Risk Factors, Prevention, and Early Detection of Melanoma”, </w:t>
      </w:r>
      <w:proofErr w:type="spellStart"/>
      <w:r>
        <w:t>Surg</w:t>
      </w:r>
      <w:proofErr w:type="spellEnd"/>
      <w:r>
        <w:t xml:space="preserve"> </w:t>
      </w:r>
      <w:proofErr w:type="spellStart"/>
      <w:r>
        <w:t>Clin</w:t>
      </w:r>
      <w:proofErr w:type="spellEnd"/>
      <w:r>
        <w:t xml:space="preserve"> N Am, 2014; 94:945-962.</w:t>
      </w:r>
    </w:p>
    <w:p w:rsidR="00554EE3" w:rsidRDefault="00554EE3" w:rsidP="00554EE3">
      <w:pPr>
        <w:pStyle w:val="EndnoteText"/>
      </w:pPr>
    </w:p>
    <w:p w:rsidR="00554EE3" w:rsidRPr="00D75B24" w:rsidRDefault="00554EE3" w:rsidP="00554EE3">
      <w:pPr>
        <w:rPr>
          <w:sz w:val="20"/>
          <w:szCs w:val="20"/>
        </w:rPr>
      </w:pPr>
      <w:r w:rsidRPr="00D75B24">
        <w:rPr>
          <w:rStyle w:val="EndnoteReference"/>
          <w:rFonts w:eastAsiaTheme="majorEastAsia"/>
          <w:szCs w:val="20"/>
        </w:rPr>
        <w:footnoteRef/>
      </w:r>
      <w:r w:rsidRPr="00416295">
        <w:rPr>
          <w:sz w:val="20"/>
          <w:szCs w:val="20"/>
          <w:lang w:val="de-DE"/>
        </w:rPr>
        <w:t xml:space="preserve"> Kraemer KH, Greene MH, Tarone R, et al. </w:t>
      </w:r>
      <w:r w:rsidRPr="00D75B24">
        <w:rPr>
          <w:sz w:val="20"/>
          <w:szCs w:val="20"/>
        </w:rPr>
        <w:t xml:space="preserve">Dysplastic nevi and cutaneous malignant melanoma risk. </w:t>
      </w:r>
      <w:r w:rsidRPr="00D75B24">
        <w:rPr>
          <w:i/>
          <w:iCs/>
          <w:sz w:val="20"/>
          <w:szCs w:val="20"/>
        </w:rPr>
        <w:t>Lancet</w:t>
      </w:r>
      <w:r w:rsidRPr="00D75B24">
        <w:rPr>
          <w:sz w:val="20"/>
          <w:szCs w:val="20"/>
        </w:rPr>
        <w:t>. 1983</w:t>
      </w:r>
      <w:proofErr w:type="gramStart"/>
      <w:r w:rsidRPr="00D75B24">
        <w:rPr>
          <w:sz w:val="20"/>
          <w:szCs w:val="20"/>
        </w:rPr>
        <w:t>;2:1076</w:t>
      </w:r>
      <w:proofErr w:type="gramEnd"/>
      <w:r w:rsidRPr="00D75B24">
        <w:rPr>
          <w:sz w:val="20"/>
          <w:szCs w:val="20"/>
        </w:rPr>
        <w:t>-1077.</w:t>
      </w:r>
    </w:p>
    <w:p w:rsidR="00554EE3" w:rsidRPr="00D75B24" w:rsidRDefault="00554EE3" w:rsidP="00554EE3">
      <w:pPr>
        <w:rPr>
          <w:sz w:val="20"/>
          <w:szCs w:val="20"/>
        </w:rPr>
      </w:pPr>
    </w:p>
    <w:p w:rsidR="00554EE3" w:rsidRPr="00D75B24" w:rsidRDefault="00554EE3" w:rsidP="00554EE3">
      <w:pPr>
        <w:rPr>
          <w:sz w:val="20"/>
          <w:szCs w:val="20"/>
        </w:rPr>
      </w:pPr>
      <w:r w:rsidRPr="00D75B24">
        <w:rPr>
          <w:rStyle w:val="EndnoteReference"/>
          <w:rFonts w:eastAsiaTheme="majorEastAsia"/>
          <w:szCs w:val="20"/>
        </w:rPr>
        <w:footnoteRef/>
      </w:r>
      <w:r w:rsidRPr="00D75B24">
        <w:rPr>
          <w:sz w:val="20"/>
          <w:szCs w:val="20"/>
        </w:rPr>
        <w:t xml:space="preserve"> </w:t>
      </w:r>
      <w:proofErr w:type="spellStart"/>
      <w:r w:rsidRPr="00D75B24">
        <w:rPr>
          <w:sz w:val="20"/>
          <w:szCs w:val="20"/>
        </w:rPr>
        <w:t>Snels</w:t>
      </w:r>
      <w:proofErr w:type="spellEnd"/>
      <w:r w:rsidRPr="00D75B24">
        <w:rPr>
          <w:sz w:val="20"/>
          <w:szCs w:val="20"/>
        </w:rPr>
        <w:t xml:space="preserve"> DG, </w:t>
      </w:r>
      <w:proofErr w:type="spellStart"/>
      <w:r w:rsidRPr="00D75B24">
        <w:rPr>
          <w:sz w:val="20"/>
          <w:szCs w:val="20"/>
        </w:rPr>
        <w:t>Hille</w:t>
      </w:r>
      <w:proofErr w:type="spellEnd"/>
      <w:r w:rsidRPr="00D75B24">
        <w:rPr>
          <w:sz w:val="20"/>
          <w:szCs w:val="20"/>
        </w:rPr>
        <w:t xml:space="preserve"> E, </w:t>
      </w:r>
      <w:proofErr w:type="spellStart"/>
      <w:r w:rsidRPr="00D75B24">
        <w:rPr>
          <w:sz w:val="20"/>
          <w:szCs w:val="20"/>
        </w:rPr>
        <w:t>Gruis</w:t>
      </w:r>
      <w:proofErr w:type="spellEnd"/>
      <w:r w:rsidRPr="00D75B24">
        <w:rPr>
          <w:sz w:val="20"/>
          <w:szCs w:val="20"/>
        </w:rPr>
        <w:t xml:space="preserve"> NA, Bergman W. Risk of cutaneous malignant melanoma in patients with </w:t>
      </w:r>
      <w:proofErr w:type="spellStart"/>
      <w:r w:rsidRPr="00D75B24">
        <w:rPr>
          <w:sz w:val="20"/>
          <w:szCs w:val="20"/>
        </w:rPr>
        <w:t>nonfamilial</w:t>
      </w:r>
      <w:proofErr w:type="spellEnd"/>
      <w:r w:rsidRPr="00D75B24">
        <w:rPr>
          <w:sz w:val="20"/>
          <w:szCs w:val="20"/>
        </w:rPr>
        <w:t xml:space="preserve"> atypical lesions from a pigmented lesions clinic. </w:t>
      </w:r>
      <w:r w:rsidRPr="00D75B24">
        <w:rPr>
          <w:i/>
          <w:iCs/>
          <w:sz w:val="20"/>
          <w:szCs w:val="20"/>
        </w:rPr>
        <w:t xml:space="preserve">J Am </w:t>
      </w:r>
      <w:proofErr w:type="spellStart"/>
      <w:r w:rsidRPr="00D75B24">
        <w:rPr>
          <w:i/>
          <w:iCs/>
          <w:sz w:val="20"/>
          <w:szCs w:val="20"/>
        </w:rPr>
        <w:t>Acad</w:t>
      </w:r>
      <w:proofErr w:type="spellEnd"/>
      <w:r w:rsidRPr="00D75B24">
        <w:rPr>
          <w:i/>
          <w:iCs/>
          <w:sz w:val="20"/>
          <w:szCs w:val="20"/>
        </w:rPr>
        <w:t xml:space="preserve"> </w:t>
      </w:r>
      <w:proofErr w:type="spellStart"/>
      <w:r w:rsidRPr="00D75B24">
        <w:rPr>
          <w:i/>
          <w:iCs/>
          <w:sz w:val="20"/>
          <w:szCs w:val="20"/>
        </w:rPr>
        <w:t>Dermatol</w:t>
      </w:r>
      <w:proofErr w:type="spellEnd"/>
      <w:r w:rsidRPr="00D75B24">
        <w:rPr>
          <w:sz w:val="20"/>
          <w:szCs w:val="20"/>
        </w:rPr>
        <w:t>. 1999</w:t>
      </w:r>
      <w:proofErr w:type="gramStart"/>
      <w:r w:rsidRPr="00D75B24">
        <w:rPr>
          <w:sz w:val="20"/>
          <w:szCs w:val="20"/>
        </w:rPr>
        <w:t>;40:686</w:t>
      </w:r>
      <w:proofErr w:type="gramEnd"/>
      <w:r w:rsidRPr="00D75B24">
        <w:rPr>
          <w:sz w:val="20"/>
          <w:szCs w:val="20"/>
        </w:rPr>
        <w:t>-693.</w:t>
      </w:r>
    </w:p>
    <w:p w:rsidR="00554EE3" w:rsidRPr="00D75B24" w:rsidRDefault="00554EE3" w:rsidP="00554EE3">
      <w:pPr>
        <w:rPr>
          <w:sz w:val="20"/>
          <w:szCs w:val="20"/>
        </w:rPr>
      </w:pPr>
    </w:p>
    <w:p w:rsidR="00554EE3" w:rsidRPr="00D75B24" w:rsidRDefault="00554EE3" w:rsidP="00554EE3">
      <w:pPr>
        <w:rPr>
          <w:sz w:val="20"/>
          <w:szCs w:val="20"/>
        </w:rPr>
      </w:pPr>
      <w:r w:rsidRPr="00D75B24">
        <w:rPr>
          <w:rStyle w:val="EndnoteReference"/>
          <w:rFonts w:eastAsiaTheme="majorEastAsia"/>
          <w:szCs w:val="20"/>
        </w:rPr>
        <w:footnoteRef/>
      </w:r>
      <w:r w:rsidRPr="00D75B24">
        <w:rPr>
          <w:sz w:val="20"/>
          <w:szCs w:val="20"/>
        </w:rPr>
        <w:t xml:space="preserve"> </w:t>
      </w:r>
      <w:r w:rsidRPr="00C01BB3">
        <w:rPr>
          <w:sz w:val="20"/>
          <w:szCs w:val="20"/>
        </w:rPr>
        <w:t xml:space="preserve">Tucker MA, Melanoma Epidemiology”, </w:t>
      </w:r>
      <w:proofErr w:type="spellStart"/>
      <w:r w:rsidRPr="00C01BB3">
        <w:rPr>
          <w:sz w:val="20"/>
          <w:szCs w:val="20"/>
        </w:rPr>
        <w:t>Hematol</w:t>
      </w:r>
      <w:proofErr w:type="spellEnd"/>
      <w:r w:rsidRPr="00C01BB3">
        <w:rPr>
          <w:sz w:val="20"/>
          <w:szCs w:val="20"/>
        </w:rPr>
        <w:t xml:space="preserve"> </w:t>
      </w:r>
      <w:proofErr w:type="spellStart"/>
      <w:r w:rsidRPr="00C01BB3">
        <w:rPr>
          <w:sz w:val="20"/>
          <w:szCs w:val="20"/>
        </w:rPr>
        <w:t>Oncol</w:t>
      </w:r>
      <w:proofErr w:type="spellEnd"/>
      <w:r w:rsidRPr="00C01BB3">
        <w:rPr>
          <w:sz w:val="20"/>
          <w:szCs w:val="20"/>
        </w:rPr>
        <w:t xml:space="preserve"> </w:t>
      </w:r>
      <w:proofErr w:type="spellStart"/>
      <w:r w:rsidRPr="00C01BB3">
        <w:rPr>
          <w:sz w:val="20"/>
          <w:szCs w:val="20"/>
        </w:rPr>
        <w:t>Clin</w:t>
      </w:r>
      <w:proofErr w:type="spellEnd"/>
      <w:r w:rsidRPr="00C01BB3">
        <w:rPr>
          <w:sz w:val="20"/>
          <w:szCs w:val="20"/>
        </w:rPr>
        <w:t xml:space="preserve"> North Am, 2009; 23:383-397.</w:t>
      </w:r>
    </w:p>
    <w:p w:rsidR="00554EE3" w:rsidRPr="00D75B24" w:rsidRDefault="00554EE3" w:rsidP="00554EE3">
      <w:pPr>
        <w:rPr>
          <w:sz w:val="20"/>
          <w:szCs w:val="20"/>
        </w:rPr>
      </w:pPr>
    </w:p>
    <w:p w:rsidR="00554EE3" w:rsidRPr="00D75B24" w:rsidRDefault="00554EE3" w:rsidP="00554EE3">
      <w:pPr>
        <w:rPr>
          <w:sz w:val="20"/>
          <w:szCs w:val="20"/>
        </w:rPr>
      </w:pPr>
      <w:r w:rsidRPr="00D75B24">
        <w:rPr>
          <w:rStyle w:val="EndnoteReference"/>
          <w:rFonts w:eastAsiaTheme="majorEastAsia"/>
          <w:szCs w:val="20"/>
        </w:rPr>
        <w:footnoteRef/>
      </w:r>
      <w:r w:rsidRPr="00D75B24">
        <w:rPr>
          <w:sz w:val="20"/>
          <w:szCs w:val="20"/>
        </w:rPr>
        <w:t xml:space="preserve"> Carey WP, Thompson CJ, </w:t>
      </w:r>
      <w:proofErr w:type="spellStart"/>
      <w:r w:rsidRPr="00D75B24">
        <w:rPr>
          <w:sz w:val="20"/>
          <w:szCs w:val="20"/>
        </w:rPr>
        <w:t>Synnestvedt</w:t>
      </w:r>
      <w:proofErr w:type="spellEnd"/>
      <w:r w:rsidRPr="00D75B24">
        <w:rPr>
          <w:sz w:val="20"/>
          <w:szCs w:val="20"/>
        </w:rPr>
        <w:t xml:space="preserve"> M, et al. Dysplastic nevi as a melanoma risk factor in patients with familial melanoma. </w:t>
      </w:r>
      <w:r w:rsidRPr="00D75B24">
        <w:rPr>
          <w:i/>
          <w:iCs/>
          <w:sz w:val="20"/>
          <w:szCs w:val="20"/>
        </w:rPr>
        <w:t>Cancer</w:t>
      </w:r>
      <w:r w:rsidRPr="00D75B24">
        <w:rPr>
          <w:sz w:val="20"/>
          <w:szCs w:val="20"/>
        </w:rPr>
        <w:t>. 1994</w:t>
      </w:r>
      <w:proofErr w:type="gramStart"/>
      <w:r w:rsidRPr="00D75B24">
        <w:rPr>
          <w:sz w:val="20"/>
          <w:szCs w:val="20"/>
        </w:rPr>
        <w:t>;74:3118</w:t>
      </w:r>
      <w:proofErr w:type="gramEnd"/>
      <w:r w:rsidRPr="00D75B24">
        <w:rPr>
          <w:sz w:val="20"/>
          <w:szCs w:val="20"/>
        </w:rPr>
        <w:t>-3125.</w:t>
      </w:r>
    </w:p>
    <w:p w:rsidR="00554EE3" w:rsidRPr="00D75B24" w:rsidRDefault="00554EE3" w:rsidP="00554EE3">
      <w:pPr>
        <w:rPr>
          <w:sz w:val="20"/>
          <w:szCs w:val="20"/>
        </w:rPr>
      </w:pPr>
    </w:p>
    <w:p w:rsidR="00554EE3" w:rsidRPr="00D75B24" w:rsidRDefault="00554EE3" w:rsidP="00554EE3">
      <w:pPr>
        <w:pStyle w:val="EndnoteText"/>
      </w:pPr>
      <w:r w:rsidRPr="00D75B24">
        <w:rPr>
          <w:rStyle w:val="EndnoteReference"/>
          <w:rFonts w:eastAsiaTheme="majorEastAsia"/>
        </w:rPr>
        <w:footnoteRef/>
      </w:r>
      <w:r w:rsidRPr="00D75B24">
        <w:t xml:space="preserve"> Clarke LE, “Dysplastic Nevi”, </w:t>
      </w:r>
      <w:proofErr w:type="spellStart"/>
      <w:r w:rsidRPr="00D75B24">
        <w:t>Clin</w:t>
      </w:r>
      <w:proofErr w:type="spellEnd"/>
      <w:r w:rsidRPr="00D75B24">
        <w:t xml:space="preserve"> Lab Med, 2011; 31:255-265.</w:t>
      </w:r>
    </w:p>
    <w:p w:rsidR="00554EE3" w:rsidRPr="00D75B24" w:rsidRDefault="00554EE3" w:rsidP="00554EE3">
      <w:pPr>
        <w:pStyle w:val="EndnoteText"/>
      </w:pPr>
    </w:p>
    <w:p w:rsidR="00554EE3" w:rsidRPr="00D75B24" w:rsidRDefault="00554EE3" w:rsidP="00554EE3">
      <w:pPr>
        <w:pStyle w:val="EndnoteText"/>
      </w:pPr>
      <w:r w:rsidRPr="00D75B24">
        <w:rPr>
          <w:rStyle w:val="EndnoteReference"/>
          <w:rFonts w:eastAsiaTheme="majorEastAsia"/>
        </w:rPr>
        <w:footnoteRef/>
      </w:r>
      <w:r w:rsidRPr="00D75B24">
        <w:t xml:space="preserve"> Silva JH, de Sa BCS, ET AL., “Atypical Mole Syndrome and Dysplastic Nevi: Identification of Populations at Risk for Developing Melanoma – Review Article”, Clinics, 2011; 66:493-499.</w:t>
      </w:r>
    </w:p>
    <w:p w:rsidR="00554EE3" w:rsidRPr="00D75B24" w:rsidRDefault="00554EE3" w:rsidP="00554EE3">
      <w:pPr>
        <w:pStyle w:val="EndnoteText"/>
      </w:pPr>
    </w:p>
    <w:p w:rsidR="00554EE3" w:rsidRPr="00D75B24" w:rsidRDefault="00554EE3" w:rsidP="00554EE3">
      <w:pPr>
        <w:rPr>
          <w:sz w:val="20"/>
          <w:szCs w:val="20"/>
        </w:rPr>
      </w:pPr>
      <w:r w:rsidRPr="00D75B24">
        <w:rPr>
          <w:rStyle w:val="EndnoteReference"/>
          <w:rFonts w:eastAsiaTheme="majorEastAsia"/>
          <w:szCs w:val="20"/>
        </w:rPr>
        <w:footnoteRef/>
      </w:r>
      <w:r w:rsidRPr="00D75B24">
        <w:rPr>
          <w:sz w:val="20"/>
          <w:szCs w:val="20"/>
        </w:rPr>
        <w:t xml:space="preserve"> Koch S, Lange JR. </w:t>
      </w:r>
      <w:proofErr w:type="spellStart"/>
      <w:r w:rsidRPr="00D75B24">
        <w:rPr>
          <w:sz w:val="20"/>
          <w:szCs w:val="20"/>
        </w:rPr>
        <w:t>Amelanotic</w:t>
      </w:r>
      <w:proofErr w:type="spellEnd"/>
      <w:r w:rsidRPr="00D75B24">
        <w:rPr>
          <w:sz w:val="20"/>
          <w:szCs w:val="20"/>
        </w:rPr>
        <w:t xml:space="preserve"> melanoma: The great </w:t>
      </w:r>
      <w:proofErr w:type="spellStart"/>
      <w:r w:rsidRPr="00D75B24">
        <w:rPr>
          <w:sz w:val="20"/>
          <w:szCs w:val="20"/>
        </w:rPr>
        <w:t>masquerader</w:t>
      </w:r>
      <w:proofErr w:type="spellEnd"/>
      <w:r w:rsidRPr="00D75B24">
        <w:rPr>
          <w:sz w:val="20"/>
          <w:szCs w:val="20"/>
        </w:rPr>
        <w:t xml:space="preserve">. </w:t>
      </w:r>
      <w:r w:rsidRPr="00D75B24">
        <w:rPr>
          <w:i/>
          <w:iCs/>
          <w:sz w:val="20"/>
          <w:szCs w:val="20"/>
        </w:rPr>
        <w:t xml:space="preserve">J Am </w:t>
      </w:r>
      <w:proofErr w:type="spellStart"/>
      <w:r w:rsidRPr="00D75B24">
        <w:rPr>
          <w:i/>
          <w:iCs/>
          <w:sz w:val="20"/>
          <w:szCs w:val="20"/>
        </w:rPr>
        <w:t>Acad</w:t>
      </w:r>
      <w:proofErr w:type="spellEnd"/>
      <w:r w:rsidRPr="00D75B24">
        <w:rPr>
          <w:i/>
          <w:iCs/>
          <w:sz w:val="20"/>
          <w:szCs w:val="20"/>
        </w:rPr>
        <w:t xml:space="preserve"> </w:t>
      </w:r>
      <w:proofErr w:type="spellStart"/>
      <w:r w:rsidRPr="00D75B24">
        <w:rPr>
          <w:i/>
          <w:iCs/>
          <w:sz w:val="20"/>
          <w:szCs w:val="20"/>
        </w:rPr>
        <w:t>Der</w:t>
      </w:r>
      <w:r w:rsidRPr="00D75B24">
        <w:rPr>
          <w:sz w:val="20"/>
          <w:szCs w:val="20"/>
        </w:rPr>
        <w:t>matol</w:t>
      </w:r>
      <w:proofErr w:type="spellEnd"/>
      <w:r w:rsidRPr="00D75B24">
        <w:rPr>
          <w:sz w:val="20"/>
          <w:szCs w:val="20"/>
        </w:rPr>
        <w:t>. 2000</w:t>
      </w:r>
      <w:proofErr w:type="gramStart"/>
      <w:r w:rsidRPr="00D75B24">
        <w:rPr>
          <w:sz w:val="20"/>
          <w:szCs w:val="20"/>
        </w:rPr>
        <w:t>;42:731</w:t>
      </w:r>
      <w:proofErr w:type="gramEnd"/>
      <w:r w:rsidRPr="00D75B24">
        <w:rPr>
          <w:sz w:val="20"/>
          <w:szCs w:val="20"/>
        </w:rPr>
        <w:t>-734.</w:t>
      </w:r>
    </w:p>
    <w:p w:rsidR="00554EE3" w:rsidRPr="00D75B24" w:rsidRDefault="00554EE3" w:rsidP="00554EE3">
      <w:pPr>
        <w:rPr>
          <w:sz w:val="20"/>
          <w:szCs w:val="20"/>
        </w:rPr>
      </w:pPr>
    </w:p>
    <w:p w:rsidR="00554EE3" w:rsidRPr="00D75B24" w:rsidRDefault="00554EE3" w:rsidP="00554EE3">
      <w:pPr>
        <w:rPr>
          <w:sz w:val="20"/>
          <w:szCs w:val="20"/>
        </w:rPr>
      </w:pPr>
      <w:r w:rsidRPr="00D75B24">
        <w:rPr>
          <w:rStyle w:val="EndnoteReference"/>
          <w:rFonts w:eastAsiaTheme="majorEastAsia"/>
          <w:szCs w:val="20"/>
        </w:rPr>
        <w:footnoteRef/>
      </w:r>
      <w:r w:rsidRPr="00D75B24">
        <w:rPr>
          <w:sz w:val="20"/>
          <w:szCs w:val="20"/>
        </w:rPr>
        <w:t xml:space="preserve"> Rivers JK. Unusual melanoma types. </w:t>
      </w:r>
      <w:proofErr w:type="spellStart"/>
      <w:r w:rsidRPr="00D75B24">
        <w:rPr>
          <w:i/>
          <w:iCs/>
          <w:sz w:val="20"/>
          <w:szCs w:val="20"/>
        </w:rPr>
        <w:t>Dermatol</w:t>
      </w:r>
      <w:proofErr w:type="spellEnd"/>
      <w:r w:rsidRPr="00D75B24">
        <w:rPr>
          <w:i/>
          <w:iCs/>
          <w:sz w:val="20"/>
          <w:szCs w:val="20"/>
        </w:rPr>
        <w:t xml:space="preserve"> </w:t>
      </w:r>
      <w:proofErr w:type="spellStart"/>
      <w:r w:rsidRPr="00D75B24">
        <w:rPr>
          <w:i/>
          <w:iCs/>
          <w:sz w:val="20"/>
          <w:szCs w:val="20"/>
        </w:rPr>
        <w:t>Clin</w:t>
      </w:r>
      <w:proofErr w:type="spellEnd"/>
      <w:r w:rsidRPr="00D75B24">
        <w:rPr>
          <w:sz w:val="20"/>
          <w:szCs w:val="20"/>
        </w:rPr>
        <w:t>. 2002</w:t>
      </w:r>
      <w:proofErr w:type="gramStart"/>
      <w:r w:rsidRPr="00D75B24">
        <w:rPr>
          <w:sz w:val="20"/>
          <w:szCs w:val="20"/>
        </w:rPr>
        <w:t>;20:727</w:t>
      </w:r>
      <w:proofErr w:type="gramEnd"/>
      <w:r w:rsidRPr="00D75B24">
        <w:rPr>
          <w:sz w:val="20"/>
          <w:szCs w:val="20"/>
        </w:rPr>
        <w:t>-733.</w:t>
      </w:r>
    </w:p>
    <w:p w:rsidR="00554EE3" w:rsidRPr="00D75B24" w:rsidRDefault="00554EE3" w:rsidP="00554EE3">
      <w:pPr>
        <w:rPr>
          <w:sz w:val="20"/>
          <w:szCs w:val="20"/>
        </w:rPr>
      </w:pPr>
    </w:p>
    <w:p w:rsidR="00554EE3" w:rsidRDefault="00554EE3" w:rsidP="00554EE3">
      <w:pPr>
        <w:rPr>
          <w:sz w:val="20"/>
          <w:szCs w:val="20"/>
        </w:rPr>
      </w:pPr>
      <w:r w:rsidRPr="00D75B24">
        <w:rPr>
          <w:rStyle w:val="EndnoteReference"/>
          <w:rFonts w:eastAsiaTheme="majorEastAsia"/>
          <w:szCs w:val="20"/>
        </w:rPr>
        <w:lastRenderedPageBreak/>
        <w:footnoteRef/>
      </w:r>
      <w:r w:rsidRPr="00416295">
        <w:rPr>
          <w:sz w:val="20"/>
          <w:szCs w:val="20"/>
          <w:lang w:val="de-DE"/>
        </w:rPr>
        <w:t xml:space="preserve"> Gershenwald JE, Scolyer RA, Hess KR, et al. </w:t>
      </w:r>
      <w:r w:rsidRPr="00C5264F">
        <w:rPr>
          <w:sz w:val="20"/>
          <w:szCs w:val="20"/>
        </w:rPr>
        <w:t xml:space="preserve">Melanoma staging: Evidence-based changes in the American Joint Committee on Cancer eighth edition cancer staging manual. CA Cancer J </w:t>
      </w:r>
      <w:proofErr w:type="spellStart"/>
      <w:r w:rsidRPr="00C5264F">
        <w:rPr>
          <w:sz w:val="20"/>
          <w:szCs w:val="20"/>
        </w:rPr>
        <w:t>Clin</w:t>
      </w:r>
      <w:proofErr w:type="spellEnd"/>
      <w:r w:rsidRPr="00C5264F">
        <w:rPr>
          <w:sz w:val="20"/>
          <w:szCs w:val="20"/>
        </w:rPr>
        <w:t xml:space="preserve"> 2017; 67(6):472-492</w:t>
      </w:r>
    </w:p>
    <w:p w:rsidR="00554EE3" w:rsidRDefault="00554EE3" w:rsidP="00554EE3">
      <w:pPr>
        <w:rPr>
          <w:sz w:val="20"/>
          <w:szCs w:val="20"/>
        </w:rPr>
      </w:pPr>
    </w:p>
    <w:p w:rsidR="00554EE3" w:rsidRDefault="00554EE3" w:rsidP="00554EE3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15</w:t>
      </w:r>
      <w:r w:rsidRPr="00416295">
        <w:rPr>
          <w:sz w:val="20"/>
          <w:szCs w:val="20"/>
          <w:lang w:val="en-US"/>
        </w:rPr>
        <w:t xml:space="preserve"> </w:t>
      </w:r>
      <w:r w:rsidRPr="00061694">
        <w:rPr>
          <w:sz w:val="20"/>
          <w:szCs w:val="20"/>
        </w:rPr>
        <w:t xml:space="preserve">Thompson JF, Soong SJ, Balch CM, et al. Prognostic significance of mitotic rate in localized primary cutaneous melanoma: an analysis of patients in the multi-institutional American Joint Committee on Cancer melanoma staging database. J </w:t>
      </w:r>
      <w:proofErr w:type="spellStart"/>
      <w:r w:rsidRPr="00061694">
        <w:rPr>
          <w:sz w:val="20"/>
          <w:szCs w:val="20"/>
        </w:rPr>
        <w:t>Clin</w:t>
      </w:r>
      <w:proofErr w:type="spellEnd"/>
      <w:r w:rsidRPr="00061694">
        <w:rPr>
          <w:sz w:val="20"/>
          <w:szCs w:val="20"/>
        </w:rPr>
        <w:t xml:space="preserve"> </w:t>
      </w:r>
      <w:proofErr w:type="spellStart"/>
      <w:r w:rsidRPr="00061694">
        <w:rPr>
          <w:sz w:val="20"/>
          <w:szCs w:val="20"/>
        </w:rPr>
        <w:t>Oncol</w:t>
      </w:r>
      <w:proofErr w:type="spellEnd"/>
      <w:r w:rsidRPr="00061694">
        <w:rPr>
          <w:sz w:val="20"/>
          <w:szCs w:val="20"/>
        </w:rPr>
        <w:t>. 2011</w:t>
      </w:r>
      <w:proofErr w:type="gramStart"/>
      <w:r w:rsidRPr="00061694">
        <w:rPr>
          <w:sz w:val="20"/>
          <w:szCs w:val="20"/>
        </w:rPr>
        <w:t>;29</w:t>
      </w:r>
      <w:proofErr w:type="gramEnd"/>
      <w:r w:rsidRPr="00061694">
        <w:rPr>
          <w:sz w:val="20"/>
          <w:szCs w:val="20"/>
        </w:rPr>
        <w:t xml:space="preserve">(16):2199. </w:t>
      </w:r>
      <w:proofErr w:type="spellStart"/>
      <w:r w:rsidRPr="00061694">
        <w:rPr>
          <w:sz w:val="20"/>
          <w:szCs w:val="20"/>
        </w:rPr>
        <w:t>Epub</w:t>
      </w:r>
      <w:proofErr w:type="spellEnd"/>
      <w:r w:rsidRPr="00061694">
        <w:rPr>
          <w:sz w:val="20"/>
          <w:szCs w:val="20"/>
        </w:rPr>
        <w:t xml:space="preserve"> 2011 Apr 25.</w:t>
      </w:r>
    </w:p>
    <w:p w:rsidR="00554EE3" w:rsidRDefault="00554EE3" w:rsidP="00554EE3">
      <w:pPr>
        <w:rPr>
          <w:sz w:val="20"/>
          <w:szCs w:val="20"/>
        </w:rPr>
      </w:pPr>
    </w:p>
    <w:p w:rsidR="00554EE3" w:rsidRPr="00D75B24" w:rsidRDefault="00554EE3" w:rsidP="00554EE3">
      <w:r>
        <w:rPr>
          <w:sz w:val="20"/>
          <w:szCs w:val="20"/>
          <w:vertAlign w:val="superscript"/>
        </w:rPr>
        <w:t>16</w:t>
      </w:r>
      <w:r w:rsidRPr="00D75B24">
        <w:rPr>
          <w:sz w:val="20"/>
          <w:szCs w:val="20"/>
        </w:rPr>
        <w:t xml:space="preserve">Balch CM, </w:t>
      </w:r>
      <w:proofErr w:type="spellStart"/>
      <w:r w:rsidRPr="00D75B24">
        <w:rPr>
          <w:sz w:val="20"/>
          <w:szCs w:val="20"/>
        </w:rPr>
        <w:t>Gershenwald</w:t>
      </w:r>
      <w:proofErr w:type="spellEnd"/>
      <w:r w:rsidRPr="00D75B24">
        <w:rPr>
          <w:sz w:val="20"/>
          <w:szCs w:val="20"/>
        </w:rPr>
        <w:t xml:space="preserve"> JE, et al., “Final Version of 2009 AJCC Melanoma and Staging Classification”,    </w:t>
      </w:r>
      <w:r w:rsidRPr="00D75B24">
        <w:rPr>
          <w:i/>
          <w:sz w:val="20"/>
          <w:szCs w:val="20"/>
        </w:rPr>
        <w:t xml:space="preserve">J </w:t>
      </w:r>
      <w:proofErr w:type="spellStart"/>
      <w:r w:rsidRPr="00D75B24">
        <w:rPr>
          <w:i/>
          <w:sz w:val="20"/>
          <w:szCs w:val="20"/>
        </w:rPr>
        <w:t>Clin</w:t>
      </w:r>
      <w:proofErr w:type="spellEnd"/>
      <w:r w:rsidRPr="00D75B24">
        <w:rPr>
          <w:i/>
          <w:sz w:val="20"/>
          <w:szCs w:val="20"/>
        </w:rPr>
        <w:t xml:space="preserve"> </w:t>
      </w:r>
      <w:proofErr w:type="spellStart"/>
      <w:r w:rsidRPr="00D75B24">
        <w:rPr>
          <w:i/>
          <w:sz w:val="20"/>
          <w:szCs w:val="20"/>
        </w:rPr>
        <w:t>Oncol</w:t>
      </w:r>
      <w:proofErr w:type="spellEnd"/>
      <w:r w:rsidRPr="00D75B24">
        <w:rPr>
          <w:sz w:val="20"/>
          <w:szCs w:val="20"/>
        </w:rPr>
        <w:t>, 2009; 27:6199-6206.</w:t>
      </w:r>
    </w:p>
    <w:p w:rsidR="00554EE3" w:rsidRPr="00D75B24" w:rsidRDefault="00554EE3" w:rsidP="00554EE3">
      <w:pPr>
        <w:rPr>
          <w:sz w:val="20"/>
          <w:szCs w:val="20"/>
        </w:rPr>
      </w:pPr>
    </w:p>
    <w:p w:rsidR="00554EE3" w:rsidRDefault="00554EE3" w:rsidP="00554EE3">
      <w:pPr>
        <w:rPr>
          <w:sz w:val="20"/>
          <w:szCs w:val="20"/>
        </w:rPr>
      </w:pPr>
      <w:r>
        <w:rPr>
          <w:rStyle w:val="EndnoteReference"/>
          <w:rFonts w:eastAsiaTheme="majorEastAsia"/>
          <w:szCs w:val="20"/>
        </w:rPr>
        <w:t>1</w:t>
      </w:r>
      <w:r w:rsidRPr="00416295">
        <w:rPr>
          <w:sz w:val="20"/>
          <w:szCs w:val="20"/>
          <w:vertAlign w:val="superscript"/>
        </w:rPr>
        <w:t>7</w:t>
      </w:r>
      <w:r w:rsidRPr="00D75B24">
        <w:rPr>
          <w:sz w:val="20"/>
          <w:szCs w:val="20"/>
        </w:rPr>
        <w:t xml:space="preserve"> </w:t>
      </w:r>
      <w:r w:rsidRPr="00061694">
        <w:rPr>
          <w:sz w:val="20"/>
          <w:szCs w:val="20"/>
        </w:rPr>
        <w:t xml:space="preserve">The prognostic impact of the anatomical sites in the 'head and neck melanoma': scalp versus face and neck. </w:t>
      </w:r>
      <w:proofErr w:type="gramStart"/>
      <w:r w:rsidRPr="00061694">
        <w:rPr>
          <w:sz w:val="20"/>
          <w:szCs w:val="20"/>
        </w:rPr>
        <w:t>de</w:t>
      </w:r>
      <w:proofErr w:type="gramEnd"/>
      <w:r w:rsidRPr="00061694">
        <w:rPr>
          <w:sz w:val="20"/>
          <w:szCs w:val="20"/>
        </w:rPr>
        <w:t xml:space="preserve"> Giorgi V, et al. Melanoma Res. 2012 Aug 23.</w:t>
      </w:r>
    </w:p>
    <w:p w:rsidR="00554EE3" w:rsidRDefault="00554EE3" w:rsidP="00554EE3">
      <w:pPr>
        <w:rPr>
          <w:sz w:val="20"/>
          <w:szCs w:val="20"/>
        </w:rPr>
      </w:pPr>
    </w:p>
    <w:p w:rsidR="00554EE3" w:rsidRPr="00D75B24" w:rsidRDefault="00554EE3" w:rsidP="00554EE3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18</w:t>
      </w:r>
      <w:r w:rsidRPr="00D75B24">
        <w:rPr>
          <w:sz w:val="20"/>
          <w:szCs w:val="20"/>
        </w:rPr>
        <w:t xml:space="preserve">Rogers GS, Braun SM. Prognostic factors. </w:t>
      </w:r>
      <w:proofErr w:type="spellStart"/>
      <w:r w:rsidRPr="00D75B24">
        <w:rPr>
          <w:i/>
          <w:iCs/>
          <w:sz w:val="20"/>
          <w:szCs w:val="20"/>
        </w:rPr>
        <w:t>Dermatol</w:t>
      </w:r>
      <w:proofErr w:type="spellEnd"/>
      <w:r w:rsidRPr="00D75B24">
        <w:rPr>
          <w:i/>
          <w:iCs/>
          <w:sz w:val="20"/>
          <w:szCs w:val="20"/>
        </w:rPr>
        <w:t xml:space="preserve"> </w:t>
      </w:r>
      <w:proofErr w:type="spellStart"/>
      <w:r w:rsidRPr="00D75B24">
        <w:rPr>
          <w:i/>
          <w:iCs/>
          <w:sz w:val="20"/>
          <w:szCs w:val="20"/>
        </w:rPr>
        <w:t>Clin</w:t>
      </w:r>
      <w:proofErr w:type="spellEnd"/>
      <w:r w:rsidRPr="00D75B24">
        <w:rPr>
          <w:sz w:val="20"/>
          <w:szCs w:val="20"/>
        </w:rPr>
        <w:t>. 2002</w:t>
      </w:r>
      <w:proofErr w:type="gramStart"/>
      <w:r w:rsidRPr="00D75B24">
        <w:rPr>
          <w:sz w:val="20"/>
          <w:szCs w:val="20"/>
        </w:rPr>
        <w:t>;20:647</w:t>
      </w:r>
      <w:proofErr w:type="gramEnd"/>
      <w:r w:rsidRPr="00D75B24">
        <w:rPr>
          <w:sz w:val="20"/>
          <w:szCs w:val="20"/>
        </w:rPr>
        <w:t>-658.</w:t>
      </w:r>
    </w:p>
    <w:p w:rsidR="00554EE3" w:rsidRPr="00D75B24" w:rsidRDefault="00554EE3" w:rsidP="00554EE3">
      <w:pPr>
        <w:rPr>
          <w:sz w:val="20"/>
          <w:szCs w:val="20"/>
        </w:rPr>
      </w:pPr>
    </w:p>
    <w:p w:rsidR="00554EE3" w:rsidRPr="00D75B24" w:rsidRDefault="00554EE3" w:rsidP="00554EE3">
      <w:pPr>
        <w:rPr>
          <w:sz w:val="20"/>
          <w:szCs w:val="20"/>
        </w:rPr>
      </w:pPr>
      <w:r>
        <w:rPr>
          <w:rStyle w:val="EndnoteReference"/>
          <w:rFonts w:eastAsiaTheme="majorEastAsia"/>
          <w:szCs w:val="20"/>
        </w:rPr>
        <w:t>1</w:t>
      </w:r>
      <w:r w:rsidRPr="00416295">
        <w:rPr>
          <w:sz w:val="20"/>
          <w:szCs w:val="20"/>
          <w:vertAlign w:val="superscript"/>
        </w:rPr>
        <w:t xml:space="preserve">9 </w:t>
      </w:r>
      <w:r w:rsidRPr="00D75B24">
        <w:rPr>
          <w:sz w:val="20"/>
          <w:szCs w:val="20"/>
        </w:rPr>
        <w:t xml:space="preserve">Balch CM, </w:t>
      </w:r>
      <w:proofErr w:type="spellStart"/>
      <w:r w:rsidRPr="00D75B24">
        <w:rPr>
          <w:sz w:val="20"/>
          <w:szCs w:val="20"/>
        </w:rPr>
        <w:t>Buzaid</w:t>
      </w:r>
      <w:proofErr w:type="spellEnd"/>
      <w:r w:rsidRPr="00D75B24">
        <w:rPr>
          <w:sz w:val="20"/>
          <w:szCs w:val="20"/>
        </w:rPr>
        <w:t xml:space="preserve"> AC, Soong SJ, et al. Final version of the American Joint Committee on cancer staging system for cutaneous melanoma. </w:t>
      </w:r>
      <w:r w:rsidRPr="00D75B24">
        <w:rPr>
          <w:i/>
          <w:iCs/>
          <w:sz w:val="20"/>
          <w:szCs w:val="20"/>
        </w:rPr>
        <w:t xml:space="preserve">J </w:t>
      </w:r>
      <w:proofErr w:type="spellStart"/>
      <w:r w:rsidRPr="00D75B24">
        <w:rPr>
          <w:i/>
          <w:iCs/>
          <w:sz w:val="20"/>
          <w:szCs w:val="20"/>
        </w:rPr>
        <w:t>Clin</w:t>
      </w:r>
      <w:proofErr w:type="spellEnd"/>
      <w:r w:rsidRPr="00D75B24">
        <w:rPr>
          <w:i/>
          <w:iCs/>
          <w:sz w:val="20"/>
          <w:szCs w:val="20"/>
        </w:rPr>
        <w:t xml:space="preserve"> </w:t>
      </w:r>
      <w:proofErr w:type="spellStart"/>
      <w:r w:rsidRPr="00D75B24">
        <w:rPr>
          <w:i/>
          <w:iCs/>
          <w:sz w:val="20"/>
          <w:szCs w:val="20"/>
        </w:rPr>
        <w:t>Oncol</w:t>
      </w:r>
      <w:proofErr w:type="spellEnd"/>
      <w:r w:rsidRPr="00D75B24">
        <w:rPr>
          <w:sz w:val="20"/>
          <w:szCs w:val="20"/>
        </w:rPr>
        <w:t>. 2001</w:t>
      </w:r>
      <w:proofErr w:type="gramStart"/>
      <w:r w:rsidRPr="00D75B24">
        <w:rPr>
          <w:sz w:val="20"/>
          <w:szCs w:val="20"/>
        </w:rPr>
        <w:t>;19:3635</w:t>
      </w:r>
      <w:proofErr w:type="gramEnd"/>
      <w:r w:rsidRPr="00D75B24">
        <w:rPr>
          <w:sz w:val="20"/>
          <w:szCs w:val="20"/>
        </w:rPr>
        <w:t>-3648.</w:t>
      </w:r>
    </w:p>
    <w:p w:rsidR="00554EE3" w:rsidRPr="00D75B24" w:rsidRDefault="00554EE3" w:rsidP="00554EE3">
      <w:pPr>
        <w:rPr>
          <w:sz w:val="20"/>
          <w:szCs w:val="20"/>
        </w:rPr>
      </w:pPr>
    </w:p>
    <w:p w:rsidR="00554EE3" w:rsidRPr="00D75B24" w:rsidRDefault="00554EE3" w:rsidP="00554EE3">
      <w:pPr>
        <w:pStyle w:val="EndnoteText"/>
      </w:pPr>
      <w:r>
        <w:rPr>
          <w:rStyle w:val="EndnoteReference"/>
          <w:rFonts w:eastAsiaTheme="majorEastAsia"/>
        </w:rPr>
        <w:t>2</w:t>
      </w:r>
      <w:r w:rsidRPr="00416295">
        <w:rPr>
          <w:vertAlign w:val="superscript"/>
        </w:rPr>
        <w:t>0</w:t>
      </w:r>
      <w:r>
        <w:rPr>
          <w:rStyle w:val="EndnoteReference"/>
          <w:rFonts w:eastAsiaTheme="majorEastAsia"/>
        </w:rPr>
        <w:t>2</w:t>
      </w:r>
      <w:r w:rsidRPr="00416295">
        <w:rPr>
          <w:vertAlign w:val="superscript"/>
        </w:rPr>
        <w:t>12223</w:t>
      </w:r>
      <w:r w:rsidRPr="00D75B24">
        <w:t xml:space="preserve"> Flaherty KT, </w:t>
      </w:r>
      <w:proofErr w:type="spellStart"/>
      <w:r w:rsidRPr="00D75B24">
        <w:t>Puzanov</w:t>
      </w:r>
      <w:proofErr w:type="spellEnd"/>
      <w:r w:rsidRPr="00D75B24">
        <w:t xml:space="preserve"> I, et al., ”Inhibition of Mutated, Activated BRAF in Metastatic Melanoma”, N </w:t>
      </w:r>
      <w:proofErr w:type="spellStart"/>
      <w:r w:rsidRPr="00D75B24">
        <w:t>Engl</w:t>
      </w:r>
      <w:proofErr w:type="spellEnd"/>
      <w:r w:rsidRPr="00D75B24">
        <w:t xml:space="preserve"> J Med,  2010; 363:809-819.</w:t>
      </w:r>
    </w:p>
    <w:p w:rsidR="00554EE3" w:rsidRPr="00D75B24" w:rsidRDefault="00554EE3" w:rsidP="00554EE3">
      <w:pPr>
        <w:pStyle w:val="EndnoteText"/>
      </w:pPr>
    </w:p>
    <w:p w:rsidR="00554EE3" w:rsidRPr="00D75B24" w:rsidRDefault="00554EE3" w:rsidP="00554EE3">
      <w:pPr>
        <w:pStyle w:val="EndnoteText"/>
      </w:pPr>
      <w:r>
        <w:rPr>
          <w:rStyle w:val="EndnoteReference"/>
          <w:rFonts w:eastAsiaTheme="majorEastAsia"/>
        </w:rPr>
        <w:t>2</w:t>
      </w:r>
      <w:r w:rsidRPr="00416295">
        <w:rPr>
          <w:vertAlign w:val="superscript"/>
        </w:rPr>
        <w:t xml:space="preserve">4 </w:t>
      </w:r>
      <w:proofErr w:type="spellStart"/>
      <w:r w:rsidRPr="00D75B24">
        <w:t>Eggermont</w:t>
      </w:r>
      <w:proofErr w:type="spellEnd"/>
      <w:r w:rsidRPr="00D75B24">
        <w:t xml:space="preserve"> AMM, “Advances in the Systemic Treatment of Melanoma”, Ann </w:t>
      </w:r>
      <w:proofErr w:type="spellStart"/>
      <w:r w:rsidRPr="00D75B24">
        <w:t>Oncol</w:t>
      </w:r>
      <w:proofErr w:type="spellEnd"/>
      <w:r w:rsidRPr="00D75B24">
        <w:t>, 2010; vii330-vii344.</w:t>
      </w:r>
    </w:p>
    <w:p w:rsidR="00554EE3" w:rsidRPr="00D75B24" w:rsidRDefault="00554EE3" w:rsidP="00554EE3">
      <w:pPr>
        <w:pStyle w:val="EndnoteText"/>
      </w:pPr>
    </w:p>
    <w:p w:rsidR="00554EE3" w:rsidRPr="00D75B24" w:rsidRDefault="00554EE3" w:rsidP="00554EE3">
      <w:pPr>
        <w:pStyle w:val="EndnoteText"/>
      </w:pPr>
      <w:r w:rsidRPr="003F63EE">
        <w:rPr>
          <w:rStyle w:val="EndnoteReference"/>
          <w:rFonts w:eastAsiaTheme="majorEastAsia"/>
        </w:rPr>
        <w:t>2</w:t>
      </w:r>
      <w:r w:rsidRPr="00416295">
        <w:rPr>
          <w:vertAlign w:val="superscript"/>
        </w:rPr>
        <w:t>5</w:t>
      </w:r>
      <w:r>
        <w:rPr>
          <w:vertAlign w:val="superscript"/>
        </w:rPr>
        <w:t xml:space="preserve"> </w:t>
      </w:r>
      <w:r>
        <w:t xml:space="preserve">Long GV, Flaherty KT, </w:t>
      </w:r>
      <w:proofErr w:type="spellStart"/>
      <w:r>
        <w:t>Stroyakovskiy</w:t>
      </w:r>
      <w:proofErr w:type="spellEnd"/>
      <w:r>
        <w:t xml:space="preserve"> </w:t>
      </w:r>
      <w:proofErr w:type="spellStart"/>
      <w:r>
        <w:t>D,et</w:t>
      </w:r>
      <w:proofErr w:type="spellEnd"/>
      <w:r>
        <w:t xml:space="preserve"> al. </w:t>
      </w:r>
      <w:proofErr w:type="spellStart"/>
      <w:r w:rsidRPr="00275422">
        <w:t>Dabrafenib</w:t>
      </w:r>
      <w:proofErr w:type="spellEnd"/>
      <w:r w:rsidRPr="00275422">
        <w:t xml:space="preserve"> plus </w:t>
      </w:r>
      <w:proofErr w:type="spellStart"/>
      <w:r w:rsidRPr="00275422">
        <w:t>trametinib</w:t>
      </w:r>
      <w:proofErr w:type="spellEnd"/>
      <w:r w:rsidRPr="00275422">
        <w:t xml:space="preserve"> versus </w:t>
      </w:r>
      <w:proofErr w:type="spellStart"/>
      <w:r w:rsidRPr="00275422">
        <w:t>dabrafenib</w:t>
      </w:r>
      <w:proofErr w:type="spellEnd"/>
      <w:r w:rsidRPr="00275422">
        <w:t xml:space="preserve"> monotherapy in patients with metastatic BRAF V600E/K-mutant melanoma: long-term survival and safety analysis of a phase 3 study.</w:t>
      </w:r>
      <w:r>
        <w:t xml:space="preserve"> Ann </w:t>
      </w:r>
      <w:proofErr w:type="spellStart"/>
      <w:r>
        <w:t>Oncol</w:t>
      </w:r>
      <w:proofErr w:type="spellEnd"/>
      <w:r>
        <w:t>. 2017;.</w:t>
      </w:r>
    </w:p>
    <w:p w:rsidR="00554EE3" w:rsidRPr="00D75B24" w:rsidRDefault="00554EE3" w:rsidP="00554EE3">
      <w:pPr>
        <w:pStyle w:val="EndnoteText"/>
      </w:pPr>
    </w:p>
    <w:p w:rsidR="00554EE3" w:rsidRDefault="00554EE3" w:rsidP="00554EE3">
      <w:pPr>
        <w:pStyle w:val="EndnoteText"/>
      </w:pPr>
      <w:r w:rsidRPr="00416295">
        <w:rPr>
          <w:vertAlign w:val="superscript"/>
        </w:rPr>
        <w:t>26</w:t>
      </w:r>
      <w:r>
        <w:t xml:space="preserve"> </w:t>
      </w:r>
      <w:proofErr w:type="spellStart"/>
      <w:r>
        <w:t>Saranga</w:t>
      </w:r>
      <w:proofErr w:type="spellEnd"/>
      <w:r>
        <w:t xml:space="preserve">-Perry V, </w:t>
      </w:r>
      <w:proofErr w:type="spellStart"/>
      <w:r>
        <w:t>Ambe</w:t>
      </w:r>
      <w:proofErr w:type="spellEnd"/>
      <w:r>
        <w:t xml:space="preserve"> C, et al., “Recent Developments in the Medical and Surgical Treatment of Melanoma”, CA Cancer J </w:t>
      </w:r>
      <w:proofErr w:type="spellStart"/>
      <w:r>
        <w:t>Clin</w:t>
      </w:r>
      <w:proofErr w:type="spellEnd"/>
      <w:r>
        <w:t>, 2014; 64:171-185.</w:t>
      </w:r>
    </w:p>
    <w:p w:rsidR="00554EE3" w:rsidRDefault="00554EE3" w:rsidP="00554EE3">
      <w:pPr>
        <w:pStyle w:val="EndnoteText"/>
      </w:pPr>
    </w:p>
    <w:p w:rsidR="00554EE3" w:rsidRDefault="00554EE3" w:rsidP="00554EE3">
      <w:pPr>
        <w:pStyle w:val="EndnoteText"/>
      </w:pPr>
      <w:r>
        <w:rPr>
          <w:rStyle w:val="EndnoteReference"/>
          <w:rFonts w:eastAsiaTheme="majorEastAsia"/>
        </w:rPr>
        <w:t>2</w:t>
      </w:r>
      <w:r w:rsidRPr="00416295">
        <w:rPr>
          <w:vertAlign w:val="superscript"/>
        </w:rPr>
        <w:t>7</w:t>
      </w:r>
      <w:r>
        <w:t xml:space="preserve"> </w:t>
      </w:r>
      <w:proofErr w:type="spellStart"/>
      <w:r>
        <w:t>Palathinkal</w:t>
      </w:r>
      <w:proofErr w:type="spellEnd"/>
      <w:r>
        <w:t xml:space="preserve"> DM, Sharma TR, et al., “Current Systemic Therapies for Melanoma”, </w:t>
      </w:r>
      <w:proofErr w:type="spellStart"/>
      <w:r>
        <w:t>Dermatol</w:t>
      </w:r>
      <w:proofErr w:type="spellEnd"/>
      <w:r>
        <w:t xml:space="preserve"> </w:t>
      </w:r>
      <w:proofErr w:type="spellStart"/>
      <w:r>
        <w:t>Surg</w:t>
      </w:r>
      <w:proofErr w:type="spellEnd"/>
      <w:r>
        <w:t>, 2014; 40:948-963.</w:t>
      </w:r>
    </w:p>
    <w:p w:rsidR="00554EE3" w:rsidRDefault="00554EE3" w:rsidP="00554EE3">
      <w:pPr>
        <w:pStyle w:val="EndnoteText"/>
      </w:pPr>
    </w:p>
    <w:p w:rsidR="00554EE3" w:rsidRPr="008139E7" w:rsidRDefault="00554EE3" w:rsidP="00554EE3">
      <w:pPr>
        <w:rPr>
          <w:sz w:val="20"/>
          <w:szCs w:val="20"/>
        </w:rPr>
      </w:pPr>
      <w:r w:rsidRPr="00416295">
        <w:rPr>
          <w:vertAlign w:val="superscript"/>
        </w:rPr>
        <w:t>28</w:t>
      </w:r>
      <w:hyperlink r:id="rId10" w:history="1">
        <w:r w:rsidRPr="008139E7">
          <w:rPr>
            <w:sz w:val="20"/>
            <w:szCs w:val="20"/>
          </w:rPr>
          <w:t>http://www.fda.gov/NewsEvents/Newsroom/PressAnnouncements/ucm469571.htm</w:t>
        </w:r>
      </w:hyperlink>
    </w:p>
    <w:p w:rsidR="00554EE3" w:rsidRDefault="00554EE3" w:rsidP="00554EE3">
      <w:pPr>
        <w:pStyle w:val="EndnoteText"/>
      </w:pPr>
    </w:p>
    <w:p w:rsidR="00554EE3" w:rsidRPr="00D75B24" w:rsidRDefault="00554EE3" w:rsidP="00554EE3">
      <w:pPr>
        <w:rPr>
          <w:sz w:val="20"/>
          <w:szCs w:val="20"/>
        </w:rPr>
      </w:pPr>
      <w:r w:rsidRPr="00416295">
        <w:rPr>
          <w:sz w:val="20"/>
          <w:szCs w:val="20"/>
          <w:vertAlign w:val="superscript"/>
        </w:rPr>
        <w:t>29</w:t>
      </w:r>
      <w:r w:rsidRPr="00D75B24">
        <w:rPr>
          <w:sz w:val="20"/>
          <w:szCs w:val="20"/>
        </w:rPr>
        <w:t xml:space="preserve"> Surveillance, Epidemiology, and End Results (SEER) Program Public-Use Data (1973-1999). National Cancer Institute, DCCPS, Surveillance Research Program. Cancer Statistics Branch. Released April 2002. Based on November 2001 Submission.</w:t>
      </w:r>
    </w:p>
    <w:p w:rsidR="00554EE3" w:rsidRPr="00D75B24" w:rsidRDefault="00554EE3" w:rsidP="00554EE3">
      <w:pPr>
        <w:rPr>
          <w:sz w:val="20"/>
          <w:szCs w:val="20"/>
        </w:rPr>
      </w:pPr>
    </w:p>
    <w:p w:rsidR="00554EE3" w:rsidRPr="002636F6" w:rsidRDefault="00554EE3" w:rsidP="00554EE3">
      <w:pPr>
        <w:rPr>
          <w:sz w:val="20"/>
          <w:szCs w:val="20"/>
          <w:lang w:val="fr-FR"/>
        </w:rPr>
      </w:pPr>
      <w:r w:rsidRPr="00416295">
        <w:rPr>
          <w:sz w:val="20"/>
          <w:szCs w:val="20"/>
          <w:vertAlign w:val="superscript"/>
        </w:rPr>
        <w:t>30</w:t>
      </w:r>
      <w:r w:rsidRPr="00D75B24">
        <w:rPr>
          <w:sz w:val="20"/>
          <w:szCs w:val="20"/>
        </w:rPr>
        <w:t xml:space="preserve"> Brown CD, </w:t>
      </w:r>
      <w:proofErr w:type="spellStart"/>
      <w:r w:rsidRPr="00D75B24">
        <w:rPr>
          <w:sz w:val="20"/>
          <w:szCs w:val="20"/>
        </w:rPr>
        <w:t>Zitelli</w:t>
      </w:r>
      <w:proofErr w:type="spellEnd"/>
      <w:r w:rsidRPr="00D75B24">
        <w:rPr>
          <w:sz w:val="20"/>
          <w:szCs w:val="20"/>
        </w:rPr>
        <w:t xml:space="preserve"> JA. The prognosis and treatment of true local cutaneous recurrent malignant melanoma. </w:t>
      </w:r>
      <w:proofErr w:type="spellStart"/>
      <w:r w:rsidRPr="002636F6">
        <w:rPr>
          <w:i/>
          <w:iCs/>
          <w:sz w:val="20"/>
          <w:szCs w:val="20"/>
          <w:lang w:val="fr-FR"/>
        </w:rPr>
        <w:t>Dermatol</w:t>
      </w:r>
      <w:proofErr w:type="spellEnd"/>
      <w:r w:rsidRPr="002636F6">
        <w:rPr>
          <w:i/>
          <w:iCs/>
          <w:sz w:val="20"/>
          <w:szCs w:val="20"/>
          <w:lang w:val="fr-FR"/>
        </w:rPr>
        <w:t xml:space="preserve"> </w:t>
      </w:r>
      <w:proofErr w:type="spellStart"/>
      <w:r w:rsidRPr="002636F6">
        <w:rPr>
          <w:i/>
          <w:iCs/>
          <w:sz w:val="20"/>
          <w:szCs w:val="20"/>
          <w:lang w:val="fr-FR"/>
        </w:rPr>
        <w:t>Surg</w:t>
      </w:r>
      <w:proofErr w:type="spellEnd"/>
      <w:r w:rsidRPr="002636F6">
        <w:rPr>
          <w:sz w:val="20"/>
          <w:szCs w:val="20"/>
          <w:lang w:val="fr-FR"/>
        </w:rPr>
        <w:t>. 1995;21:285-290.</w:t>
      </w:r>
    </w:p>
    <w:p w:rsidR="00554EE3" w:rsidRPr="00D75B24" w:rsidRDefault="00554EE3" w:rsidP="00554EE3">
      <w:pPr>
        <w:rPr>
          <w:sz w:val="20"/>
          <w:szCs w:val="20"/>
        </w:rPr>
      </w:pPr>
      <w:r w:rsidRPr="00416295">
        <w:rPr>
          <w:sz w:val="20"/>
          <w:szCs w:val="20"/>
          <w:vertAlign w:val="superscript"/>
          <w:lang w:val="fr-FR"/>
        </w:rPr>
        <w:t>31</w:t>
      </w:r>
      <w:r w:rsidRPr="002636F6">
        <w:rPr>
          <w:sz w:val="20"/>
          <w:szCs w:val="20"/>
          <w:lang w:val="fr-FR"/>
        </w:rPr>
        <w:t xml:space="preserve"> Dong XD, Tyler D, Johnson JL, et al. </w:t>
      </w:r>
      <w:r w:rsidRPr="00D75B24">
        <w:rPr>
          <w:sz w:val="20"/>
          <w:szCs w:val="20"/>
        </w:rPr>
        <w:t xml:space="preserve">Analysis of prognosis and disease progression after local recurrence of melanoma. </w:t>
      </w:r>
      <w:r w:rsidRPr="00D75B24">
        <w:rPr>
          <w:i/>
          <w:iCs/>
          <w:sz w:val="20"/>
          <w:szCs w:val="20"/>
        </w:rPr>
        <w:t>Cancer</w:t>
      </w:r>
      <w:r w:rsidRPr="00D75B24">
        <w:rPr>
          <w:sz w:val="20"/>
          <w:szCs w:val="20"/>
        </w:rPr>
        <w:t>. 2000</w:t>
      </w:r>
      <w:proofErr w:type="gramStart"/>
      <w:r w:rsidRPr="00D75B24">
        <w:rPr>
          <w:sz w:val="20"/>
          <w:szCs w:val="20"/>
        </w:rPr>
        <w:t>;88:1063</w:t>
      </w:r>
      <w:proofErr w:type="gramEnd"/>
      <w:r w:rsidRPr="00D75B24">
        <w:rPr>
          <w:sz w:val="20"/>
          <w:szCs w:val="20"/>
        </w:rPr>
        <w:t>-1071.</w:t>
      </w:r>
    </w:p>
    <w:p w:rsidR="00554EE3" w:rsidRPr="00D75B24" w:rsidRDefault="00554EE3" w:rsidP="00554EE3">
      <w:pPr>
        <w:rPr>
          <w:sz w:val="20"/>
          <w:szCs w:val="20"/>
        </w:rPr>
      </w:pPr>
      <w:r w:rsidRPr="00416295">
        <w:rPr>
          <w:sz w:val="20"/>
          <w:szCs w:val="20"/>
          <w:vertAlign w:val="superscript"/>
          <w:lang w:val="de-DE"/>
        </w:rPr>
        <w:t>32</w:t>
      </w:r>
      <w:r w:rsidRPr="00416295">
        <w:rPr>
          <w:sz w:val="20"/>
          <w:szCs w:val="20"/>
          <w:lang w:val="de-DE"/>
        </w:rPr>
        <w:t xml:space="preserve"> Wildemore JK, Schuchter L, Mick R, et al. </w:t>
      </w:r>
      <w:r w:rsidRPr="00D75B24">
        <w:rPr>
          <w:sz w:val="20"/>
          <w:szCs w:val="20"/>
        </w:rPr>
        <w:t xml:space="preserve">Locally recurrent malignant melanoma characteristics and outcomes: A single institution study. </w:t>
      </w:r>
      <w:r w:rsidRPr="00D75B24">
        <w:rPr>
          <w:i/>
          <w:iCs/>
          <w:sz w:val="20"/>
          <w:szCs w:val="20"/>
        </w:rPr>
        <w:t xml:space="preserve">Ann </w:t>
      </w:r>
      <w:proofErr w:type="spellStart"/>
      <w:r w:rsidRPr="00D75B24">
        <w:rPr>
          <w:i/>
          <w:iCs/>
          <w:sz w:val="20"/>
          <w:szCs w:val="20"/>
        </w:rPr>
        <w:t>Plast</w:t>
      </w:r>
      <w:proofErr w:type="spellEnd"/>
      <w:r w:rsidRPr="00D75B24">
        <w:rPr>
          <w:i/>
          <w:iCs/>
          <w:sz w:val="20"/>
          <w:szCs w:val="20"/>
        </w:rPr>
        <w:t xml:space="preserve"> Surg</w:t>
      </w:r>
      <w:r w:rsidRPr="00D75B24">
        <w:rPr>
          <w:sz w:val="20"/>
          <w:szCs w:val="20"/>
        </w:rPr>
        <w:t>. 2001</w:t>
      </w:r>
      <w:proofErr w:type="gramStart"/>
      <w:r w:rsidRPr="00D75B24">
        <w:rPr>
          <w:sz w:val="20"/>
          <w:szCs w:val="20"/>
        </w:rPr>
        <w:t>;46:488</w:t>
      </w:r>
      <w:proofErr w:type="gramEnd"/>
      <w:r w:rsidRPr="00D75B24">
        <w:rPr>
          <w:sz w:val="20"/>
          <w:szCs w:val="20"/>
        </w:rPr>
        <w:t>-494.</w:t>
      </w:r>
    </w:p>
    <w:p w:rsidR="00554EE3" w:rsidRPr="00D75B24" w:rsidRDefault="00554EE3" w:rsidP="00554EE3">
      <w:pPr>
        <w:rPr>
          <w:sz w:val="20"/>
          <w:szCs w:val="20"/>
        </w:rPr>
      </w:pPr>
    </w:p>
    <w:p w:rsidR="00554EE3" w:rsidRPr="00416295" w:rsidRDefault="00554EE3" w:rsidP="00554EE3">
      <w:pPr>
        <w:rPr>
          <w:sz w:val="20"/>
        </w:rPr>
      </w:pPr>
      <w:r w:rsidRPr="00416295">
        <w:rPr>
          <w:sz w:val="20"/>
          <w:szCs w:val="20"/>
          <w:vertAlign w:val="superscript"/>
        </w:rPr>
        <w:t>33</w:t>
      </w:r>
      <w:r w:rsidRPr="00D75B24">
        <w:rPr>
          <w:sz w:val="20"/>
          <w:szCs w:val="20"/>
        </w:rPr>
        <w:t xml:space="preserve"> </w:t>
      </w:r>
      <w:proofErr w:type="spellStart"/>
      <w:r w:rsidRPr="00D75B24">
        <w:rPr>
          <w:sz w:val="20"/>
          <w:szCs w:val="20"/>
        </w:rPr>
        <w:t>Heenan</w:t>
      </w:r>
      <w:proofErr w:type="spellEnd"/>
      <w:r w:rsidRPr="00D75B24">
        <w:rPr>
          <w:sz w:val="20"/>
          <w:szCs w:val="20"/>
        </w:rPr>
        <w:t xml:space="preserve"> PJ. Local recurrence of melanoma. </w:t>
      </w:r>
      <w:proofErr w:type="spellStart"/>
      <w:r w:rsidRPr="00D75B24">
        <w:rPr>
          <w:i/>
          <w:iCs/>
          <w:sz w:val="20"/>
          <w:szCs w:val="20"/>
        </w:rPr>
        <w:t>Australas</w:t>
      </w:r>
      <w:proofErr w:type="spellEnd"/>
      <w:r w:rsidRPr="00D75B24">
        <w:rPr>
          <w:i/>
          <w:iCs/>
          <w:sz w:val="20"/>
          <w:szCs w:val="20"/>
        </w:rPr>
        <w:t xml:space="preserve"> J </w:t>
      </w:r>
      <w:proofErr w:type="spellStart"/>
      <w:r w:rsidRPr="00D75B24">
        <w:rPr>
          <w:i/>
          <w:iCs/>
          <w:sz w:val="20"/>
          <w:szCs w:val="20"/>
        </w:rPr>
        <w:t>Dermatol</w:t>
      </w:r>
      <w:proofErr w:type="spellEnd"/>
      <w:r w:rsidRPr="00D75B24">
        <w:rPr>
          <w:sz w:val="20"/>
          <w:szCs w:val="20"/>
        </w:rPr>
        <w:t>. 1997</w:t>
      </w:r>
      <w:proofErr w:type="gramStart"/>
      <w:r w:rsidRPr="00D75B24">
        <w:rPr>
          <w:sz w:val="20"/>
          <w:szCs w:val="20"/>
        </w:rPr>
        <w:t>;38</w:t>
      </w:r>
      <w:proofErr w:type="gramEnd"/>
      <w:r>
        <w:rPr>
          <w:sz w:val="20"/>
        </w:rPr>
        <w:t xml:space="preserve"> (</w:t>
      </w:r>
      <w:proofErr w:type="spellStart"/>
      <w:r>
        <w:rPr>
          <w:sz w:val="20"/>
        </w:rPr>
        <w:t>Suppl</w:t>
      </w:r>
      <w:proofErr w:type="spellEnd"/>
      <w:r>
        <w:rPr>
          <w:sz w:val="20"/>
        </w:rPr>
        <w:t xml:space="preserve"> 1):S59-S62.</w:t>
      </w:r>
    </w:p>
    <w:p w:rsidR="00554EE3" w:rsidRPr="00554EE3" w:rsidRDefault="00554EE3" w:rsidP="006C5965">
      <w:pPr>
        <w:pStyle w:val="EndnoteText"/>
        <w:rPr>
          <w:lang w:val="en-US"/>
        </w:rPr>
      </w:pPr>
    </w:p>
    <w:p w:rsidR="006C5965" w:rsidRDefault="006C5965" w:rsidP="006C5965"/>
    <w:p w:rsidR="003E0325" w:rsidRDefault="003E0325" w:rsidP="006C5965"/>
    <w:p w:rsidR="003E0325" w:rsidRDefault="003E0325" w:rsidP="006C5965"/>
    <w:p w:rsidR="003E0325" w:rsidRDefault="003E0325" w:rsidP="006C5965"/>
    <w:p w:rsidR="003E0325" w:rsidRPr="003E0325" w:rsidRDefault="003E0325" w:rsidP="006C5965">
      <w:pPr>
        <w:rPr>
          <w:color w:val="00B0F0"/>
          <w:sz w:val="24"/>
          <w:szCs w:val="24"/>
        </w:rPr>
      </w:pPr>
      <w:r w:rsidRPr="003E0325">
        <w:rPr>
          <w:color w:val="00B0F0"/>
          <w:sz w:val="24"/>
          <w:szCs w:val="24"/>
        </w:rPr>
        <w:lastRenderedPageBreak/>
        <w:t>Colon Cancer</w:t>
      </w:r>
    </w:p>
    <w:p w:rsidR="003E0325" w:rsidRDefault="003E0325" w:rsidP="006C5965">
      <w:pPr>
        <w:rPr>
          <w:sz w:val="24"/>
          <w:szCs w:val="24"/>
        </w:rPr>
      </w:pPr>
    </w:p>
    <w:p w:rsidR="003E0325" w:rsidRPr="002955B7" w:rsidRDefault="003E0325" w:rsidP="003E0325">
      <w:pPr>
        <w:pStyle w:val="EndnoteText"/>
        <w:jc w:val="center"/>
        <w:rPr>
          <w:b/>
        </w:rPr>
      </w:pPr>
      <w:r w:rsidRPr="002955B7">
        <w:rPr>
          <w:b/>
        </w:rPr>
        <w:t>Endnotes – Colon Cancer</w:t>
      </w:r>
    </w:p>
    <w:p w:rsidR="003E0325" w:rsidRDefault="003E0325" w:rsidP="003E0325">
      <w:pPr>
        <w:pStyle w:val="EndnoteText"/>
      </w:pPr>
    </w:p>
    <w:p w:rsidR="003E0325" w:rsidRDefault="003E0325" w:rsidP="003E0325">
      <w:pPr>
        <w:pStyle w:val="EndnoteText"/>
      </w:pPr>
      <w:r>
        <w:rPr>
          <w:rStyle w:val="EndnoteReference"/>
          <w:rFonts w:eastAsiaTheme="majorEastAsia"/>
        </w:rPr>
        <w:footnoteRef/>
      </w:r>
      <w:r>
        <w:t xml:space="preserve"> </w:t>
      </w:r>
      <w:r w:rsidRPr="004A014F">
        <w:t xml:space="preserve">Siegel RL, Miller KD, </w:t>
      </w:r>
      <w:proofErr w:type="spellStart"/>
      <w:r w:rsidRPr="004A014F">
        <w:t>Fedewa</w:t>
      </w:r>
      <w:proofErr w:type="spellEnd"/>
      <w:r w:rsidRPr="004A014F">
        <w:t xml:space="preserve"> SA, </w:t>
      </w:r>
      <w:r w:rsidRPr="00A63E70">
        <w:rPr>
          <w:lang w:val="en-US"/>
        </w:rPr>
        <w:t>et al.</w:t>
      </w:r>
      <w:r w:rsidRPr="004A014F">
        <w:t xml:space="preserve"> Colorectal cancer statistics, 2017. CA Cancer J </w:t>
      </w:r>
      <w:proofErr w:type="spellStart"/>
      <w:r w:rsidRPr="004A014F">
        <w:t>Clin</w:t>
      </w:r>
      <w:proofErr w:type="spellEnd"/>
      <w:r w:rsidRPr="004A014F">
        <w:t xml:space="preserve"> 67(3):177–193</w:t>
      </w:r>
    </w:p>
    <w:p w:rsidR="003E0325" w:rsidRDefault="003E0325" w:rsidP="003E0325">
      <w:pPr>
        <w:pStyle w:val="EndnoteText"/>
      </w:pPr>
    </w:p>
    <w:p w:rsidR="003E0325" w:rsidRDefault="003E0325" w:rsidP="003E0325">
      <w:pPr>
        <w:pStyle w:val="EndnoteText"/>
      </w:pPr>
      <w:r>
        <w:rPr>
          <w:rStyle w:val="EndnoteReference"/>
          <w:rFonts w:eastAsiaTheme="majorEastAsia"/>
        </w:rPr>
        <w:footnoteRef/>
      </w:r>
      <w:r>
        <w:t xml:space="preserve"> </w:t>
      </w:r>
      <w:proofErr w:type="spellStart"/>
      <w:r w:rsidRPr="00BB6E34">
        <w:t>Howlader</w:t>
      </w:r>
      <w:proofErr w:type="spellEnd"/>
      <w:r w:rsidRPr="00BB6E34">
        <w:t xml:space="preserve"> N, </w:t>
      </w:r>
      <w:proofErr w:type="spellStart"/>
      <w:r w:rsidRPr="00BB6E34">
        <w:t>Noone</w:t>
      </w:r>
      <w:proofErr w:type="spellEnd"/>
      <w:r w:rsidRPr="00BB6E34">
        <w:t xml:space="preserve"> AM, </w:t>
      </w:r>
      <w:proofErr w:type="spellStart"/>
      <w:r w:rsidRPr="00BB6E34">
        <w:t>Krapcho</w:t>
      </w:r>
      <w:proofErr w:type="spellEnd"/>
      <w:r w:rsidRPr="00BB6E34">
        <w:t xml:space="preserve"> M, </w:t>
      </w:r>
      <w:proofErr w:type="spellStart"/>
      <w:r w:rsidRPr="00BB6E34">
        <w:t>Garshell</w:t>
      </w:r>
      <w:proofErr w:type="spellEnd"/>
      <w:r w:rsidRPr="00BB6E34">
        <w:t xml:space="preserve"> J, Miller D, </w:t>
      </w:r>
      <w:proofErr w:type="spellStart"/>
      <w:r w:rsidRPr="00BB6E34">
        <w:t>Altekruse</w:t>
      </w:r>
      <w:proofErr w:type="spellEnd"/>
      <w:r w:rsidRPr="00BB6E34">
        <w:t xml:space="preserve"> SF, </w:t>
      </w:r>
      <w:proofErr w:type="spellStart"/>
      <w:r w:rsidRPr="00BB6E34">
        <w:t>Kosary</w:t>
      </w:r>
      <w:proofErr w:type="spellEnd"/>
      <w:r w:rsidRPr="00BB6E34">
        <w:t xml:space="preserve"> CL, Yu M, </w:t>
      </w:r>
      <w:proofErr w:type="spellStart"/>
      <w:r w:rsidRPr="00BB6E34">
        <w:t>Ruhl</w:t>
      </w:r>
      <w:proofErr w:type="spellEnd"/>
      <w:r w:rsidRPr="00BB6E34">
        <w:t xml:space="preserve"> J, </w:t>
      </w:r>
      <w:proofErr w:type="spellStart"/>
      <w:r w:rsidRPr="00BB6E34">
        <w:t>Tatalovich</w:t>
      </w:r>
      <w:proofErr w:type="spellEnd"/>
      <w:r w:rsidRPr="00BB6E34">
        <w:t xml:space="preserve"> Z,</w:t>
      </w:r>
      <w:r>
        <w:t xml:space="preserve"> </w:t>
      </w:r>
      <w:proofErr w:type="spellStart"/>
      <w:r w:rsidRPr="00BB6E34">
        <w:t>Mariotto</w:t>
      </w:r>
      <w:proofErr w:type="spellEnd"/>
      <w:r w:rsidRPr="00BB6E34">
        <w:t xml:space="preserve"> A, Lewis DR, Chen HS, </w:t>
      </w:r>
      <w:proofErr w:type="spellStart"/>
      <w:r w:rsidRPr="00BB6E34">
        <w:t>Feuer</w:t>
      </w:r>
      <w:proofErr w:type="spellEnd"/>
      <w:r w:rsidRPr="00BB6E34">
        <w:t xml:space="preserve"> EJ, Cronin KA (</w:t>
      </w:r>
      <w:proofErr w:type="spellStart"/>
      <w:r w:rsidRPr="00BB6E34">
        <w:t>eds</w:t>
      </w:r>
      <w:proofErr w:type="spellEnd"/>
      <w:r w:rsidRPr="00BB6E34">
        <w:t xml:space="preserve">). SEER Cancer Statistics Review, 1975-2012, National Cancer Institute. Bethesda, MD, </w:t>
      </w:r>
      <w:hyperlink r:id="rId11" w:history="1">
        <w:r w:rsidRPr="00BB6E34">
          <w:t>http://seer.cancer.gov/csr/1975_2012/</w:t>
        </w:r>
      </w:hyperlink>
      <w:r w:rsidRPr="00BB6E34">
        <w:t>, based on November 2014 SEER data submission, posted to the SEER web site, April 2015</w:t>
      </w:r>
      <w:r>
        <w:rPr>
          <w:rFonts w:ascii="Lucida Sans Unicode" w:hAnsi="Lucida Sans Unicode" w:cs="Lucida Sans Unicode"/>
          <w:color w:val="444444"/>
          <w:sz w:val="19"/>
          <w:szCs w:val="19"/>
        </w:rPr>
        <w:t>.</w:t>
      </w:r>
    </w:p>
    <w:p w:rsidR="003E0325" w:rsidRDefault="003E0325" w:rsidP="003E0325">
      <w:pPr>
        <w:pStyle w:val="EndnoteText"/>
      </w:pPr>
    </w:p>
    <w:p w:rsidR="003E0325" w:rsidRDefault="003E0325" w:rsidP="003E0325">
      <w:pPr>
        <w:pStyle w:val="EndnoteText"/>
      </w:pPr>
      <w:r>
        <w:rPr>
          <w:rStyle w:val="EndnoteReference"/>
          <w:rFonts w:eastAsiaTheme="majorEastAsia"/>
        </w:rPr>
        <w:footnoteRef/>
      </w:r>
      <w:r>
        <w:t xml:space="preserve"> </w:t>
      </w:r>
      <w:proofErr w:type="spellStart"/>
      <w:r>
        <w:t>Cappell</w:t>
      </w:r>
      <w:proofErr w:type="spellEnd"/>
      <w:r>
        <w:t xml:space="preserve"> M, “The Pathophysiology, Clinical Presentation, and Diagnosis of Colon Cancer and Adenomatous Polyps”, Med </w:t>
      </w:r>
      <w:proofErr w:type="spellStart"/>
      <w:r>
        <w:t>Clin</w:t>
      </w:r>
      <w:proofErr w:type="spellEnd"/>
      <w:r>
        <w:t xml:space="preserve"> N Am, 2005; 89:1-42.</w:t>
      </w:r>
    </w:p>
    <w:p w:rsidR="003E0325" w:rsidRDefault="003E0325" w:rsidP="003E0325">
      <w:pPr>
        <w:pStyle w:val="EndnoteText"/>
      </w:pPr>
    </w:p>
    <w:p w:rsidR="003E0325" w:rsidRDefault="003E0325" w:rsidP="003E0325">
      <w:pPr>
        <w:pStyle w:val="EndnoteText"/>
      </w:pPr>
      <w:r>
        <w:rPr>
          <w:rStyle w:val="EndnoteReference"/>
          <w:rFonts w:eastAsiaTheme="majorEastAsia"/>
        </w:rPr>
        <w:footnoteRef/>
      </w:r>
      <w:r>
        <w:t xml:space="preserve"> </w:t>
      </w:r>
      <w:r w:rsidRPr="00D01CE5">
        <w:t xml:space="preserve">Siegel R, </w:t>
      </w:r>
      <w:r>
        <w:rPr>
          <w:lang w:val="en-US"/>
        </w:rPr>
        <w:t>Miller KD</w:t>
      </w:r>
      <w:r w:rsidRPr="00D01CE5">
        <w:t xml:space="preserve">, </w:t>
      </w:r>
      <w:proofErr w:type="spellStart"/>
      <w:r w:rsidRPr="00D01CE5">
        <w:t>Jemal</w:t>
      </w:r>
      <w:proofErr w:type="spellEnd"/>
      <w:r w:rsidRPr="00D01CE5">
        <w:t xml:space="preserve"> A, “Cancer Statistics, 201</w:t>
      </w:r>
      <w:r>
        <w:rPr>
          <w:lang w:val="en-US"/>
        </w:rPr>
        <w:t>9</w:t>
      </w:r>
      <w:r w:rsidRPr="00D01CE5">
        <w:t xml:space="preserve">”, </w:t>
      </w:r>
      <w:r w:rsidRPr="00E73641">
        <w:t xml:space="preserve">CA Cancer J </w:t>
      </w:r>
      <w:proofErr w:type="spellStart"/>
      <w:r w:rsidRPr="00E73641">
        <w:t>Clin</w:t>
      </w:r>
      <w:proofErr w:type="spellEnd"/>
      <w:r w:rsidRPr="00E73641">
        <w:t>. 201</w:t>
      </w:r>
      <w:r>
        <w:rPr>
          <w:lang w:val="en-US"/>
        </w:rPr>
        <w:t>9</w:t>
      </w:r>
      <w:r>
        <w:t>;</w:t>
      </w:r>
      <w:r w:rsidRPr="004A014F">
        <w:rPr>
          <w:lang w:val="en-US"/>
        </w:rPr>
        <w:t>0:1–28</w:t>
      </w:r>
      <w:r>
        <w:rPr>
          <w:lang w:val="en-US"/>
        </w:rPr>
        <w:t xml:space="preserve"> </w:t>
      </w:r>
    </w:p>
    <w:p w:rsidR="003E0325" w:rsidRDefault="003E0325" w:rsidP="003E0325">
      <w:pPr>
        <w:pStyle w:val="EndnoteText"/>
      </w:pPr>
    </w:p>
    <w:p w:rsidR="003E0325" w:rsidRDefault="003E0325" w:rsidP="003E0325">
      <w:pPr>
        <w:pStyle w:val="EndnoteText"/>
      </w:pPr>
      <w:r>
        <w:rPr>
          <w:rStyle w:val="EndnoteReference"/>
          <w:rFonts w:eastAsiaTheme="majorEastAsia"/>
        </w:rPr>
        <w:footnoteRef/>
      </w:r>
      <w:r>
        <w:t xml:space="preserve"> Rudy D, </w:t>
      </w:r>
      <w:proofErr w:type="spellStart"/>
      <w:r>
        <w:t>Zdon</w:t>
      </w:r>
      <w:proofErr w:type="spellEnd"/>
      <w:r>
        <w:t xml:space="preserve"> MJ “Update on Colorectal Cancer”, Am Fam Physician”, 2000; 61:1759-70,1173-4.</w:t>
      </w:r>
    </w:p>
    <w:p w:rsidR="003E0325" w:rsidRDefault="003E0325" w:rsidP="003E0325">
      <w:pPr>
        <w:pStyle w:val="EndnoteText"/>
      </w:pPr>
    </w:p>
    <w:p w:rsidR="003E0325" w:rsidRDefault="003E0325" w:rsidP="003E0325">
      <w:pPr>
        <w:pStyle w:val="EndnoteText"/>
      </w:pPr>
      <w:r>
        <w:rPr>
          <w:rStyle w:val="EndnoteReference"/>
          <w:rFonts w:eastAsiaTheme="majorEastAsia"/>
        </w:rPr>
        <w:footnoteRef/>
      </w:r>
      <w:r>
        <w:t xml:space="preserve"> </w:t>
      </w:r>
      <w:proofErr w:type="spellStart"/>
      <w:r>
        <w:t>Niederhuber</w:t>
      </w:r>
      <w:proofErr w:type="spellEnd"/>
      <w:r>
        <w:t xml:space="preserve"> JE, Cole CE, et al., “Colon Cancer” in </w:t>
      </w:r>
      <w:proofErr w:type="spellStart"/>
      <w:r>
        <w:t>Abeloff</w:t>
      </w:r>
      <w:proofErr w:type="spellEnd"/>
      <w:r>
        <w:t xml:space="preserve">  MD, Armitage JO et al, eds. </w:t>
      </w:r>
      <w:r w:rsidRPr="00DA3629">
        <w:rPr>
          <w:i/>
        </w:rPr>
        <w:t>Clinical Oncology</w:t>
      </w:r>
      <w:r>
        <w:t>, 3</w:t>
      </w:r>
      <w:r w:rsidRPr="00FE55AE">
        <w:rPr>
          <w:vertAlign w:val="superscript"/>
        </w:rPr>
        <w:t>rd</w:t>
      </w:r>
      <w:r>
        <w:t xml:space="preserve"> ed., 2004, Churchill Livingstone,</w:t>
      </w:r>
      <w:r w:rsidRPr="002779FE">
        <w:t xml:space="preserve"> </w:t>
      </w:r>
      <w:r>
        <w:t>Elsevier.</w:t>
      </w:r>
    </w:p>
    <w:p w:rsidR="003E0325" w:rsidRDefault="003E0325" w:rsidP="003E0325">
      <w:pPr>
        <w:pStyle w:val="EndnoteText"/>
      </w:pPr>
    </w:p>
    <w:p w:rsidR="003E0325" w:rsidRDefault="003E0325" w:rsidP="003E0325">
      <w:pPr>
        <w:pStyle w:val="EndnoteText"/>
      </w:pPr>
      <w:r>
        <w:rPr>
          <w:rStyle w:val="EndnoteReference"/>
          <w:rFonts w:eastAsiaTheme="majorEastAsia"/>
        </w:rPr>
        <w:footnoteRef/>
      </w:r>
      <w:r>
        <w:t xml:space="preserve"> </w:t>
      </w:r>
      <w:proofErr w:type="spellStart"/>
      <w:r>
        <w:t>Nease</w:t>
      </w:r>
      <w:proofErr w:type="spellEnd"/>
      <w:r>
        <w:t xml:space="preserve"> DE, </w:t>
      </w:r>
      <w:proofErr w:type="spellStart"/>
      <w:r>
        <w:t>Stoffel</w:t>
      </w:r>
      <w:proofErr w:type="spellEnd"/>
      <w:r>
        <w:t xml:space="preserve"> E, et al., “Colorectal Cancer Screening”, </w:t>
      </w:r>
      <w:proofErr w:type="spellStart"/>
      <w:r>
        <w:t>Clin</w:t>
      </w:r>
      <w:proofErr w:type="spellEnd"/>
      <w:r>
        <w:t xml:space="preserve"> Am Fam Practice, 2004; 6:693-707. </w:t>
      </w:r>
    </w:p>
    <w:p w:rsidR="003E0325" w:rsidRDefault="003E0325" w:rsidP="003E0325">
      <w:pPr>
        <w:pStyle w:val="EndnoteText"/>
      </w:pPr>
    </w:p>
    <w:p w:rsidR="003E0325" w:rsidRDefault="003E0325" w:rsidP="003E0325">
      <w:pPr>
        <w:pStyle w:val="EndnoteText"/>
      </w:pPr>
      <w:r>
        <w:rPr>
          <w:rStyle w:val="EndnoteReference"/>
          <w:rFonts w:eastAsiaTheme="majorEastAsia"/>
        </w:rPr>
        <w:footnoteRef/>
      </w:r>
      <w:r w:rsidRPr="00CD282E">
        <w:t xml:space="preserve"> </w:t>
      </w:r>
      <w:proofErr w:type="spellStart"/>
      <w:r w:rsidRPr="00CD282E">
        <w:t>Soreide</w:t>
      </w:r>
      <w:proofErr w:type="spellEnd"/>
      <w:r w:rsidRPr="00CD282E">
        <w:t xml:space="preserve"> K, Berg M, et al., </w:t>
      </w:r>
      <w:r>
        <w:t>"</w:t>
      </w:r>
      <w:r w:rsidRPr="00CD282E">
        <w:t>Advances in the Understanding and Treatment of Colorectal Cancer”, Discovery Med, 2011;12:393-404.</w:t>
      </w:r>
    </w:p>
    <w:p w:rsidR="003E0325" w:rsidRDefault="003E0325" w:rsidP="003E0325">
      <w:pPr>
        <w:pStyle w:val="EndnoteText"/>
      </w:pPr>
    </w:p>
    <w:p w:rsidR="003E0325" w:rsidRDefault="003E0325" w:rsidP="003E0325">
      <w:pPr>
        <w:pStyle w:val="EndnoteText"/>
        <w:rPr>
          <w:lang w:val="en-US"/>
        </w:rPr>
      </w:pPr>
      <w:r>
        <w:rPr>
          <w:rStyle w:val="EndnoteReference"/>
          <w:rFonts w:eastAsiaTheme="majorEastAsia"/>
        </w:rPr>
        <w:footnoteRef/>
      </w:r>
      <w:r>
        <w:t xml:space="preserve"> </w:t>
      </w:r>
      <w:proofErr w:type="spellStart"/>
      <w:r>
        <w:rPr>
          <w:lang w:val="en-US"/>
        </w:rPr>
        <w:t>Labianca</w:t>
      </w:r>
      <w:proofErr w:type="spellEnd"/>
      <w:r>
        <w:rPr>
          <w:lang w:val="en-US"/>
        </w:rPr>
        <w:t xml:space="preserve"> R, </w:t>
      </w:r>
      <w:proofErr w:type="spellStart"/>
      <w:r>
        <w:rPr>
          <w:lang w:val="en-US"/>
        </w:rPr>
        <w:t>Nordlinger</w:t>
      </w:r>
      <w:proofErr w:type="spellEnd"/>
      <w:r>
        <w:rPr>
          <w:lang w:val="en-US"/>
        </w:rPr>
        <w:t xml:space="preserve"> B, et al., “Early Colon Cancer: ESMO Clinical Practice Guidelines for Diagnosis, Treatment and Follow-up”, Ann </w:t>
      </w:r>
      <w:proofErr w:type="spellStart"/>
      <w:r>
        <w:rPr>
          <w:lang w:val="en-US"/>
        </w:rPr>
        <w:t>Oncol</w:t>
      </w:r>
      <w:proofErr w:type="spellEnd"/>
      <w:r>
        <w:rPr>
          <w:lang w:val="en-US"/>
        </w:rPr>
        <w:t>, 2013; 24(</w:t>
      </w:r>
      <w:proofErr w:type="spellStart"/>
      <w:r>
        <w:rPr>
          <w:lang w:val="en-US"/>
        </w:rPr>
        <w:t>Suppl</w:t>
      </w:r>
      <w:proofErr w:type="spellEnd"/>
      <w:r>
        <w:rPr>
          <w:lang w:val="en-US"/>
        </w:rPr>
        <w:t xml:space="preserve"> 6):vi64-vi72.</w:t>
      </w:r>
    </w:p>
    <w:p w:rsidR="003E0325" w:rsidRPr="00EA3807" w:rsidRDefault="003E0325" w:rsidP="003E0325">
      <w:pPr>
        <w:pStyle w:val="EndnoteText"/>
        <w:rPr>
          <w:lang w:val="en-US"/>
        </w:rPr>
      </w:pPr>
    </w:p>
    <w:p w:rsidR="003E0325" w:rsidRDefault="003E0325" w:rsidP="003E0325">
      <w:pPr>
        <w:pStyle w:val="EndnoteText"/>
      </w:pPr>
      <w:r>
        <w:rPr>
          <w:rStyle w:val="EndnoteReference"/>
          <w:rFonts w:eastAsiaTheme="majorEastAsia"/>
        </w:rPr>
        <w:footnoteRef/>
      </w:r>
      <w:r>
        <w:t xml:space="preserve"> </w:t>
      </w:r>
      <w:proofErr w:type="spellStart"/>
      <w:r>
        <w:t>Giardiello</w:t>
      </w:r>
      <w:proofErr w:type="spellEnd"/>
      <w:r>
        <w:t xml:space="preserve"> FM, </w:t>
      </w:r>
      <w:proofErr w:type="spellStart"/>
      <w:r>
        <w:t>Brensinger</w:t>
      </w:r>
      <w:proofErr w:type="spellEnd"/>
      <w:r>
        <w:t xml:space="preserve"> JD, Petersen GM, “AGA Technical Review on Hereditary Colorectal Cancer and Genetic Testing”, Gastroenterology, 2001; 121:198-213.</w:t>
      </w:r>
    </w:p>
    <w:p w:rsidR="003E0325" w:rsidRDefault="003E0325" w:rsidP="003E0325">
      <w:pPr>
        <w:pStyle w:val="EndnoteText"/>
      </w:pPr>
    </w:p>
    <w:p w:rsidR="003E0325" w:rsidRPr="008A152E" w:rsidRDefault="003E0325" w:rsidP="003E0325">
      <w:pPr>
        <w:pStyle w:val="EndnoteText"/>
      </w:pPr>
      <w:r>
        <w:rPr>
          <w:rStyle w:val="EndnoteReference"/>
          <w:rFonts w:eastAsiaTheme="majorEastAsia"/>
        </w:rPr>
        <w:footnoteRef/>
      </w:r>
      <w:r w:rsidRPr="008A152E">
        <w:t xml:space="preserve"> </w:t>
      </w:r>
      <w:proofErr w:type="spellStart"/>
      <w:r w:rsidRPr="008A152E">
        <w:t>Jasperson</w:t>
      </w:r>
      <w:proofErr w:type="spellEnd"/>
      <w:r w:rsidRPr="008A152E">
        <w:t xml:space="preserve"> KW, Tuohy TM, et al., </w:t>
      </w:r>
      <w:r>
        <w:t>"</w:t>
      </w:r>
      <w:r w:rsidRPr="008A152E">
        <w:t xml:space="preserve">Hereditary and Familial Colon Cancer”, </w:t>
      </w:r>
      <w:proofErr w:type="spellStart"/>
      <w:r w:rsidRPr="008A152E">
        <w:t>Gastroenterol</w:t>
      </w:r>
      <w:proofErr w:type="spellEnd"/>
      <w:r w:rsidRPr="008A152E">
        <w:t>, 2010; 138:2044-2058.</w:t>
      </w:r>
    </w:p>
    <w:p w:rsidR="003E0325" w:rsidRDefault="003E0325" w:rsidP="003E0325">
      <w:pPr>
        <w:pStyle w:val="EndnoteText"/>
      </w:pPr>
    </w:p>
    <w:p w:rsidR="003E0325" w:rsidRDefault="003E0325" w:rsidP="003E0325">
      <w:pPr>
        <w:pStyle w:val="EndnoteText"/>
      </w:pPr>
      <w:r>
        <w:rPr>
          <w:rStyle w:val="EndnoteReference"/>
          <w:rFonts w:eastAsiaTheme="majorEastAsia"/>
        </w:rPr>
        <w:footnoteRef/>
      </w:r>
      <w:r>
        <w:t xml:space="preserve"> Cummings LC, Cooper GS, “Colorectal Cancer Screening: Update for 2011”, Seminar </w:t>
      </w:r>
      <w:proofErr w:type="spellStart"/>
      <w:r>
        <w:t>Oncol</w:t>
      </w:r>
      <w:proofErr w:type="spellEnd"/>
      <w:r>
        <w:t>, 2011; 38:483-489.</w:t>
      </w:r>
    </w:p>
    <w:p w:rsidR="003E0325" w:rsidRDefault="003E0325" w:rsidP="003E0325">
      <w:pPr>
        <w:pStyle w:val="EndnoteText"/>
      </w:pPr>
    </w:p>
    <w:p w:rsidR="003E0325" w:rsidRDefault="003E0325" w:rsidP="003E0325">
      <w:pPr>
        <w:pStyle w:val="EndnoteText"/>
      </w:pPr>
      <w:r>
        <w:rPr>
          <w:rStyle w:val="EndnoteReference"/>
          <w:rFonts w:eastAsiaTheme="majorEastAsia"/>
        </w:rPr>
        <w:footnoteRef/>
      </w:r>
      <w:r>
        <w:t xml:space="preserve"> </w:t>
      </w:r>
      <w:r w:rsidRPr="00245E4F">
        <w:t>Jessup JM, Goldberg RM, Aware EA, et al. Colon and Rectum. In: AJCC Cancer Staging Manual, 8th, Amin MB (Ed), AJCC, Chicago 2017. p.251. Corrected at 4th printing, 2018.</w:t>
      </w:r>
    </w:p>
    <w:p w:rsidR="003E0325" w:rsidRDefault="003E0325" w:rsidP="003E0325">
      <w:pPr>
        <w:pStyle w:val="EndnoteText"/>
        <w:rPr>
          <w:lang w:val="en-US"/>
        </w:rPr>
      </w:pPr>
      <w:r>
        <w:rPr>
          <w:rStyle w:val="EndnoteReference"/>
          <w:rFonts w:eastAsiaTheme="majorEastAsia"/>
        </w:rPr>
        <w:footnoteRef/>
      </w:r>
      <w:r>
        <w:t xml:space="preserve"> </w:t>
      </w:r>
      <w:proofErr w:type="spellStart"/>
      <w:r w:rsidRPr="00657C63">
        <w:rPr>
          <w:lang w:val="en-US"/>
        </w:rPr>
        <w:t>Alotaibi</w:t>
      </w:r>
      <w:proofErr w:type="spellEnd"/>
      <w:r w:rsidRPr="00657C63">
        <w:rPr>
          <w:lang w:val="en-US"/>
        </w:rPr>
        <w:t xml:space="preserve"> AM, Lee JL, Kim J, et al. Prognostic and Oncologic Significance of </w:t>
      </w:r>
      <w:proofErr w:type="spellStart"/>
      <w:r w:rsidRPr="00657C63">
        <w:rPr>
          <w:lang w:val="en-US"/>
        </w:rPr>
        <w:t>Perineural</w:t>
      </w:r>
      <w:proofErr w:type="spellEnd"/>
      <w:r w:rsidRPr="00657C63">
        <w:rPr>
          <w:lang w:val="en-US"/>
        </w:rPr>
        <w:t xml:space="preserve"> Invasion in Sporadic Colorectal Cancer. Ann </w:t>
      </w:r>
      <w:proofErr w:type="spellStart"/>
      <w:r w:rsidRPr="00657C63">
        <w:rPr>
          <w:lang w:val="en-US"/>
        </w:rPr>
        <w:t>Surg</w:t>
      </w:r>
      <w:proofErr w:type="spellEnd"/>
      <w:r w:rsidRPr="00657C63">
        <w:rPr>
          <w:lang w:val="en-US"/>
        </w:rPr>
        <w:t xml:space="preserve"> </w:t>
      </w:r>
      <w:proofErr w:type="spellStart"/>
      <w:r w:rsidRPr="00657C63">
        <w:rPr>
          <w:lang w:val="en-US"/>
        </w:rPr>
        <w:t>Oncol</w:t>
      </w:r>
      <w:proofErr w:type="spellEnd"/>
      <w:r w:rsidRPr="00657C63">
        <w:rPr>
          <w:lang w:val="en-US"/>
        </w:rPr>
        <w:t xml:space="preserve"> 2017; 24:1626.</w:t>
      </w:r>
      <w:r>
        <w:rPr>
          <w:lang w:val="en-US"/>
        </w:rPr>
        <w:t xml:space="preserve"> </w:t>
      </w:r>
    </w:p>
    <w:p w:rsidR="003E0325" w:rsidRDefault="003E0325" w:rsidP="003E0325">
      <w:pPr>
        <w:pStyle w:val="EndnoteText"/>
      </w:pPr>
    </w:p>
    <w:p w:rsidR="003E0325" w:rsidRDefault="003E0325" w:rsidP="003E0325">
      <w:pPr>
        <w:pStyle w:val="EndnoteText"/>
      </w:pPr>
      <w:r>
        <w:rPr>
          <w:rStyle w:val="EndnoteReference"/>
          <w:rFonts w:eastAsiaTheme="majorEastAsia"/>
        </w:rPr>
        <w:footnoteRef/>
      </w:r>
      <w:r>
        <w:t xml:space="preserve"> Kelley RK, </w:t>
      </w:r>
      <w:proofErr w:type="spellStart"/>
      <w:r>
        <w:t>Venook</w:t>
      </w:r>
      <w:proofErr w:type="spellEnd"/>
      <w:r>
        <w:t xml:space="preserve"> AP, “Prognostic and Predictive Markers in Stage II Colon Cancer: Is There a Role for Gene Expression Profiling?”, </w:t>
      </w:r>
      <w:proofErr w:type="spellStart"/>
      <w:r>
        <w:t>Clin</w:t>
      </w:r>
      <w:proofErr w:type="spellEnd"/>
      <w:r>
        <w:t xml:space="preserve"> Colorectal Cancer, 2011; 10:73-80.</w:t>
      </w:r>
    </w:p>
    <w:p w:rsidR="003E0325" w:rsidRDefault="003E0325" w:rsidP="003E0325">
      <w:pPr>
        <w:pStyle w:val="EndnoteText"/>
      </w:pPr>
    </w:p>
    <w:p w:rsidR="003E0325" w:rsidRDefault="003E0325" w:rsidP="003E0325">
      <w:pPr>
        <w:pStyle w:val="EndnoteText"/>
        <w:rPr>
          <w:lang w:val="en-US"/>
        </w:rPr>
      </w:pPr>
      <w:r>
        <w:rPr>
          <w:rStyle w:val="EndnoteReference"/>
          <w:rFonts w:eastAsiaTheme="majorEastAsia"/>
        </w:rPr>
        <w:footnoteRef/>
      </w:r>
      <w:r>
        <w:t xml:space="preserve"> </w:t>
      </w:r>
      <w:proofErr w:type="spellStart"/>
      <w:r>
        <w:rPr>
          <w:lang w:val="en-US"/>
        </w:rPr>
        <w:t>Kopetz</w:t>
      </w:r>
      <w:proofErr w:type="spellEnd"/>
      <w:r>
        <w:rPr>
          <w:lang w:val="en-US"/>
        </w:rPr>
        <w:t xml:space="preserve"> S, </w:t>
      </w:r>
      <w:proofErr w:type="spellStart"/>
      <w:r>
        <w:rPr>
          <w:lang w:val="en-US"/>
        </w:rPr>
        <w:t>Tabeernero</w:t>
      </w:r>
      <w:proofErr w:type="spellEnd"/>
      <w:r>
        <w:rPr>
          <w:lang w:val="en-US"/>
        </w:rPr>
        <w:t xml:space="preserve"> J, et al., “Genomic Classifier </w:t>
      </w:r>
      <w:proofErr w:type="spellStart"/>
      <w:r>
        <w:rPr>
          <w:lang w:val="en-US"/>
        </w:rPr>
        <w:t>Colprint</w:t>
      </w:r>
      <w:proofErr w:type="spellEnd"/>
      <w:r>
        <w:rPr>
          <w:lang w:val="en-US"/>
        </w:rPr>
        <w:t xml:space="preserve"> Predicts Recurrence in Stage II Colorectal Cancer Patients More Accurately Than Clinical Factors, Oncologist, 2015; 20:127-133.</w:t>
      </w:r>
    </w:p>
    <w:p w:rsidR="003E0325" w:rsidRPr="00EA3807" w:rsidRDefault="003E0325" w:rsidP="003E0325">
      <w:pPr>
        <w:pStyle w:val="EndnoteText"/>
        <w:rPr>
          <w:lang w:val="en-US"/>
        </w:rPr>
      </w:pPr>
    </w:p>
    <w:p w:rsidR="003E0325" w:rsidRPr="004D7C08" w:rsidRDefault="003E0325" w:rsidP="003E0325">
      <w:pPr>
        <w:pStyle w:val="EndnoteText"/>
        <w:rPr>
          <w:lang w:val="en-US"/>
        </w:rPr>
      </w:pPr>
      <w:r>
        <w:rPr>
          <w:rStyle w:val="EndnoteReference"/>
          <w:rFonts w:eastAsiaTheme="majorEastAsia"/>
        </w:rPr>
        <w:footnoteRef/>
      </w:r>
      <w:r>
        <w:t xml:space="preserve"> </w:t>
      </w:r>
      <w:proofErr w:type="spellStart"/>
      <w:r w:rsidRPr="004D7C08">
        <w:t>Dalerba</w:t>
      </w:r>
      <w:proofErr w:type="spellEnd"/>
      <w:r>
        <w:rPr>
          <w:lang w:val="en-US"/>
        </w:rPr>
        <w:t xml:space="preserve"> P</w:t>
      </w:r>
      <w:r w:rsidRPr="004D7C08">
        <w:t>,</w:t>
      </w:r>
      <w:r>
        <w:rPr>
          <w:lang w:val="en-US"/>
        </w:rPr>
        <w:t xml:space="preserve"> </w:t>
      </w:r>
      <w:proofErr w:type="spellStart"/>
      <w:r w:rsidRPr="004D7C08">
        <w:t>Sahoo</w:t>
      </w:r>
      <w:proofErr w:type="spellEnd"/>
      <w:r>
        <w:rPr>
          <w:lang w:val="en-US"/>
        </w:rPr>
        <w:t xml:space="preserve"> </w:t>
      </w:r>
      <w:r w:rsidRPr="004D7C08">
        <w:t>D, Paik</w:t>
      </w:r>
      <w:r>
        <w:rPr>
          <w:lang w:val="en-US"/>
        </w:rPr>
        <w:t xml:space="preserve"> S, et al. </w:t>
      </w:r>
      <w:r w:rsidRPr="004D7C08">
        <w:rPr>
          <w:lang w:val="en-US"/>
        </w:rPr>
        <w:t>CDX2 as a Prognostic Biomarker in Stage II and Stage III</w:t>
      </w:r>
    </w:p>
    <w:p w:rsidR="003E0325" w:rsidRPr="004D7C08" w:rsidRDefault="003E0325" w:rsidP="003E0325">
      <w:pPr>
        <w:pStyle w:val="EndnoteText"/>
        <w:rPr>
          <w:lang w:val="en-US"/>
        </w:rPr>
      </w:pPr>
      <w:r w:rsidRPr="004D7C08">
        <w:rPr>
          <w:lang w:val="en-US"/>
        </w:rPr>
        <w:t>Colon Cancer</w:t>
      </w:r>
      <w:r>
        <w:rPr>
          <w:lang w:val="en-US"/>
        </w:rPr>
        <w:t xml:space="preserve">. </w:t>
      </w:r>
      <w:r w:rsidRPr="004D7C08">
        <w:rPr>
          <w:lang w:val="en-US"/>
        </w:rPr>
        <w:t xml:space="preserve">N </w:t>
      </w:r>
      <w:proofErr w:type="spellStart"/>
      <w:r w:rsidRPr="004D7C08">
        <w:rPr>
          <w:lang w:val="en-US"/>
        </w:rPr>
        <w:t>Engl</w:t>
      </w:r>
      <w:proofErr w:type="spellEnd"/>
      <w:r w:rsidRPr="004D7C08">
        <w:rPr>
          <w:lang w:val="en-US"/>
        </w:rPr>
        <w:t xml:space="preserve"> J Med 2016</w:t>
      </w:r>
      <w:proofErr w:type="gramStart"/>
      <w:r w:rsidRPr="004D7C08">
        <w:rPr>
          <w:lang w:val="en-US"/>
        </w:rPr>
        <w:t>;374:211</w:t>
      </w:r>
      <w:proofErr w:type="gramEnd"/>
      <w:r w:rsidRPr="004D7C08">
        <w:rPr>
          <w:lang w:val="en-US"/>
        </w:rPr>
        <w:t>-22.</w:t>
      </w:r>
    </w:p>
    <w:p w:rsidR="003E0325" w:rsidRDefault="003E0325" w:rsidP="003E0325">
      <w:pPr>
        <w:pStyle w:val="EndnoteText"/>
        <w:rPr>
          <w:lang w:val="en-US"/>
        </w:rPr>
      </w:pPr>
    </w:p>
    <w:p w:rsidR="003E0325" w:rsidRPr="00EA3807" w:rsidRDefault="003E0325" w:rsidP="003E0325">
      <w:pPr>
        <w:pStyle w:val="EndnoteText"/>
        <w:rPr>
          <w:lang w:val="en-US"/>
        </w:rPr>
      </w:pPr>
    </w:p>
    <w:p w:rsidR="003E0325" w:rsidRDefault="003E0325" w:rsidP="003E0325">
      <w:pPr>
        <w:pStyle w:val="EndnoteText"/>
        <w:rPr>
          <w:lang w:val="en-US"/>
        </w:rPr>
      </w:pPr>
      <w:r>
        <w:rPr>
          <w:rStyle w:val="EndnoteReference"/>
          <w:rFonts w:eastAsiaTheme="majorEastAsia"/>
        </w:rPr>
        <w:footnoteRef/>
      </w:r>
      <w:r>
        <w:t xml:space="preserve"> </w:t>
      </w:r>
      <w:proofErr w:type="spellStart"/>
      <w:r w:rsidRPr="00EA3807">
        <w:t>Reimers</w:t>
      </w:r>
      <w:proofErr w:type="spellEnd"/>
      <w:r w:rsidRPr="00EA3807">
        <w:t xml:space="preserve"> MS, </w:t>
      </w:r>
      <w:proofErr w:type="spellStart"/>
      <w:r w:rsidRPr="00EA3807">
        <w:t>Kuppen</w:t>
      </w:r>
      <w:proofErr w:type="spellEnd"/>
      <w:r w:rsidRPr="00EA3807">
        <w:t xml:space="preserve"> PJK, et al., “Validation of the 12-Gene Colon Cancer Recurrence Score as a </w:t>
      </w:r>
      <w:proofErr w:type="spellStart"/>
      <w:r w:rsidRPr="00EA3807">
        <w:t>Predictior</w:t>
      </w:r>
      <w:proofErr w:type="spellEnd"/>
      <w:r>
        <w:rPr>
          <w:lang w:val="en-US"/>
        </w:rPr>
        <w:t xml:space="preserve"> </w:t>
      </w:r>
      <w:r w:rsidRPr="00EA3807">
        <w:t>of Recurrence</w:t>
      </w:r>
      <w:r>
        <w:rPr>
          <w:vertAlign w:val="superscript"/>
          <w:lang w:val="en-US"/>
        </w:rPr>
        <w:t xml:space="preserve">  </w:t>
      </w:r>
      <w:r w:rsidRPr="00EA3807">
        <w:t>Risk in Stage II and III Rectal Cancer”,</w:t>
      </w:r>
      <w:r>
        <w:rPr>
          <w:lang w:val="en-US"/>
        </w:rPr>
        <w:t xml:space="preserve"> </w:t>
      </w:r>
      <w:r w:rsidRPr="00EA3807">
        <w:t xml:space="preserve">J Natl Cancer </w:t>
      </w:r>
      <w:proofErr w:type="spellStart"/>
      <w:r w:rsidRPr="00EA3807">
        <w:t>Inst</w:t>
      </w:r>
      <w:proofErr w:type="spellEnd"/>
      <w:r w:rsidRPr="00EA3807">
        <w:t xml:space="preserve">, 2014; </w:t>
      </w:r>
      <w:proofErr w:type="spellStart"/>
      <w:r w:rsidRPr="00EA3807">
        <w:t>Epub</w:t>
      </w:r>
      <w:proofErr w:type="spellEnd"/>
    </w:p>
    <w:p w:rsidR="003E0325" w:rsidRPr="00EA3807" w:rsidRDefault="003E0325" w:rsidP="003E0325">
      <w:pPr>
        <w:pStyle w:val="EndnoteText"/>
        <w:rPr>
          <w:lang w:val="en-US"/>
        </w:rPr>
      </w:pPr>
    </w:p>
    <w:p w:rsidR="003E0325" w:rsidRDefault="003E0325" w:rsidP="003E0325">
      <w:pPr>
        <w:pStyle w:val="EndnoteText"/>
        <w:rPr>
          <w:lang w:val="en-US"/>
        </w:rPr>
      </w:pPr>
      <w:r>
        <w:rPr>
          <w:rStyle w:val="EndnoteReference"/>
          <w:rFonts w:eastAsiaTheme="majorEastAsia"/>
        </w:rPr>
        <w:footnoteRef/>
      </w:r>
      <w:r>
        <w:t xml:space="preserve"> </w:t>
      </w:r>
      <w:proofErr w:type="spellStart"/>
      <w:r>
        <w:rPr>
          <w:lang w:val="en-US"/>
        </w:rPr>
        <w:t>Szylberg</w:t>
      </w:r>
      <w:proofErr w:type="spellEnd"/>
      <w:r>
        <w:rPr>
          <w:lang w:val="en-US"/>
        </w:rPr>
        <w:t xml:space="preserve"> L, </w:t>
      </w:r>
      <w:proofErr w:type="spellStart"/>
      <w:r>
        <w:rPr>
          <w:lang w:val="en-US"/>
        </w:rPr>
        <w:t>Janiczek</w:t>
      </w:r>
      <w:proofErr w:type="spellEnd"/>
      <w:r>
        <w:rPr>
          <w:lang w:val="en-US"/>
        </w:rPr>
        <w:t xml:space="preserve"> M, et al., “Large Bowel Genetic Background and Inflammatory Processes in Carcinogenesis – Systematic Review”, </w:t>
      </w:r>
      <w:proofErr w:type="spellStart"/>
      <w:r>
        <w:rPr>
          <w:lang w:val="en-US"/>
        </w:rPr>
        <w:t>Adv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Clin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Exp</w:t>
      </w:r>
      <w:proofErr w:type="spellEnd"/>
      <w:r>
        <w:rPr>
          <w:lang w:val="en-US"/>
        </w:rPr>
        <w:t xml:space="preserve"> Med, 2015; 24:555-561.</w:t>
      </w:r>
    </w:p>
    <w:p w:rsidR="003E0325" w:rsidRPr="00EA3807" w:rsidRDefault="003E0325" w:rsidP="003E0325">
      <w:pPr>
        <w:pStyle w:val="EndnoteText"/>
        <w:rPr>
          <w:lang w:val="en-US"/>
        </w:rPr>
      </w:pPr>
    </w:p>
    <w:p w:rsidR="003E0325" w:rsidRDefault="003E0325" w:rsidP="003E0325">
      <w:pPr>
        <w:pStyle w:val="EndnoteText"/>
      </w:pPr>
      <w:r>
        <w:rPr>
          <w:rStyle w:val="EndnoteReference"/>
          <w:rFonts w:eastAsiaTheme="majorEastAsia"/>
        </w:rPr>
        <w:footnoteRef/>
      </w:r>
      <w:r>
        <w:t xml:space="preserve"> Hawk ET, Umar A, Richmond E, Viner JL, “Prevention and Therapy of Colorectal Cancer”, Med </w:t>
      </w:r>
      <w:proofErr w:type="spellStart"/>
      <w:r>
        <w:t>Clin</w:t>
      </w:r>
      <w:proofErr w:type="spellEnd"/>
      <w:r>
        <w:t xml:space="preserve"> North Am, 2005; 89:85-110.</w:t>
      </w:r>
    </w:p>
    <w:p w:rsidR="003E0325" w:rsidRDefault="003E0325" w:rsidP="003E0325">
      <w:pPr>
        <w:pStyle w:val="EndnoteText"/>
      </w:pPr>
    </w:p>
    <w:p w:rsidR="003E0325" w:rsidRDefault="003E0325" w:rsidP="003E0325">
      <w:pPr>
        <w:pStyle w:val="EndnoteText"/>
      </w:pPr>
      <w:r>
        <w:rPr>
          <w:rStyle w:val="EndnoteReference"/>
          <w:rFonts w:eastAsiaTheme="majorEastAsia"/>
        </w:rPr>
        <w:footnoteRef/>
      </w:r>
      <w:r>
        <w:t xml:space="preserve"> </w:t>
      </w:r>
      <w:proofErr w:type="spellStart"/>
      <w:r>
        <w:t>Lavery</w:t>
      </w:r>
      <w:proofErr w:type="spellEnd"/>
      <w:r>
        <w:t xml:space="preserve"> IC, Lopez-</w:t>
      </w:r>
      <w:proofErr w:type="spellStart"/>
      <w:r>
        <w:t>Kostner</w:t>
      </w:r>
      <w:proofErr w:type="spellEnd"/>
      <w:r>
        <w:t xml:space="preserve"> F, Pelley RJ, Fine RM, “Treatment of Colon and Rectal Cancer”, </w:t>
      </w:r>
      <w:proofErr w:type="spellStart"/>
      <w:r>
        <w:t>Surg</w:t>
      </w:r>
      <w:proofErr w:type="spellEnd"/>
      <w:r>
        <w:t xml:space="preserve"> </w:t>
      </w:r>
      <w:proofErr w:type="spellStart"/>
      <w:r>
        <w:t>Clin</w:t>
      </w:r>
      <w:proofErr w:type="spellEnd"/>
      <w:r>
        <w:t xml:space="preserve"> North Am, 2000; 80:535-69.</w:t>
      </w:r>
    </w:p>
    <w:p w:rsidR="003E0325" w:rsidRDefault="003E0325" w:rsidP="003E0325">
      <w:pPr>
        <w:pStyle w:val="EndnoteText"/>
      </w:pPr>
    </w:p>
    <w:p w:rsidR="003E0325" w:rsidRDefault="003E0325" w:rsidP="003E0325">
      <w:pPr>
        <w:pStyle w:val="EndnoteText"/>
      </w:pPr>
      <w:r>
        <w:rPr>
          <w:rStyle w:val="EndnoteReference"/>
          <w:rFonts w:eastAsiaTheme="majorEastAsia"/>
        </w:rPr>
        <w:footnoteRef/>
      </w:r>
      <w:r>
        <w:t xml:space="preserve"> </w:t>
      </w:r>
      <w:proofErr w:type="spellStart"/>
      <w:r w:rsidRPr="004D7C08">
        <w:t>Grothey</w:t>
      </w:r>
      <w:proofErr w:type="spellEnd"/>
      <w:r w:rsidRPr="004D7C08">
        <w:t xml:space="preserve"> A, </w:t>
      </w:r>
      <w:proofErr w:type="spellStart"/>
      <w:r w:rsidRPr="004D7C08">
        <w:t>Sobrero</w:t>
      </w:r>
      <w:proofErr w:type="spellEnd"/>
      <w:r w:rsidRPr="004D7C08">
        <w:t xml:space="preserve"> AF, Shields AF, et al. Duration of Adjuvant Chemotherapy for Stage III Colon Cancer. N </w:t>
      </w:r>
      <w:proofErr w:type="spellStart"/>
      <w:r w:rsidRPr="004D7C08">
        <w:t>Engl</w:t>
      </w:r>
      <w:proofErr w:type="spellEnd"/>
      <w:r w:rsidRPr="004D7C08">
        <w:t xml:space="preserve"> J Med 2018; 378:1177.</w:t>
      </w:r>
    </w:p>
    <w:p w:rsidR="003E0325" w:rsidRDefault="003E0325" w:rsidP="003E0325">
      <w:pPr>
        <w:pStyle w:val="EndnoteText"/>
      </w:pPr>
    </w:p>
    <w:p w:rsidR="003E0325" w:rsidRDefault="003E0325" w:rsidP="003E0325">
      <w:pPr>
        <w:pStyle w:val="EndnoteText"/>
      </w:pPr>
      <w:r>
        <w:rPr>
          <w:rStyle w:val="EndnoteReference"/>
          <w:rFonts w:eastAsiaTheme="majorEastAsia"/>
        </w:rPr>
        <w:footnoteRef/>
      </w:r>
      <w:r>
        <w:t xml:space="preserve"> </w:t>
      </w:r>
      <w:proofErr w:type="spellStart"/>
      <w:r>
        <w:t>Meyerhardt</w:t>
      </w:r>
      <w:proofErr w:type="spellEnd"/>
      <w:r>
        <w:t xml:space="preserve"> J, Mayer RJ, “Systemic Therapy for Colorectal Cancer”, N </w:t>
      </w:r>
      <w:proofErr w:type="spellStart"/>
      <w:r>
        <w:t>Engl</w:t>
      </w:r>
      <w:proofErr w:type="spellEnd"/>
      <w:r>
        <w:t xml:space="preserve"> J Med, 2005; 352:476-87.</w:t>
      </w:r>
    </w:p>
    <w:p w:rsidR="003E0325" w:rsidRDefault="003E0325" w:rsidP="003E0325">
      <w:pPr>
        <w:pStyle w:val="EndnoteText"/>
      </w:pPr>
    </w:p>
    <w:p w:rsidR="003E0325" w:rsidRDefault="003E0325" w:rsidP="003E0325">
      <w:pPr>
        <w:pStyle w:val="EndnoteText"/>
      </w:pPr>
      <w:r>
        <w:rPr>
          <w:rStyle w:val="EndnoteReference"/>
          <w:rFonts w:eastAsiaTheme="majorEastAsia"/>
        </w:rPr>
        <w:footnoteRef/>
      </w:r>
      <w:r>
        <w:t xml:space="preserve"> </w:t>
      </w:r>
      <w:proofErr w:type="spellStart"/>
      <w:r>
        <w:t>Tsao</w:t>
      </w:r>
      <w:proofErr w:type="spellEnd"/>
      <w:r>
        <w:t xml:space="preserve"> JI, </w:t>
      </w:r>
      <w:proofErr w:type="spellStart"/>
      <w:r>
        <w:t>DeSanctis</w:t>
      </w:r>
      <w:proofErr w:type="spellEnd"/>
      <w:r>
        <w:t xml:space="preserve"> J, Rossi RL, </w:t>
      </w:r>
      <w:proofErr w:type="spellStart"/>
      <w:r>
        <w:t>Oberfield</w:t>
      </w:r>
      <w:proofErr w:type="spellEnd"/>
      <w:r>
        <w:t xml:space="preserve"> RA, “Hepatic Malignancies”, </w:t>
      </w:r>
      <w:proofErr w:type="spellStart"/>
      <w:r>
        <w:t>Surg</w:t>
      </w:r>
      <w:proofErr w:type="spellEnd"/>
      <w:r>
        <w:t xml:space="preserve"> </w:t>
      </w:r>
      <w:proofErr w:type="spellStart"/>
      <w:r>
        <w:t>Clin</w:t>
      </w:r>
      <w:proofErr w:type="spellEnd"/>
      <w:r>
        <w:t xml:space="preserve"> North Am, 2000; 80:603-32.</w:t>
      </w:r>
    </w:p>
    <w:p w:rsidR="003E0325" w:rsidRDefault="003E0325" w:rsidP="003E0325">
      <w:pPr>
        <w:pStyle w:val="EndnoteText"/>
      </w:pPr>
    </w:p>
    <w:p w:rsidR="003E0325" w:rsidRDefault="003E0325" w:rsidP="003E0325">
      <w:pPr>
        <w:pStyle w:val="EndnoteText"/>
      </w:pPr>
      <w:r w:rsidRPr="00964D44">
        <w:rPr>
          <w:rStyle w:val="EndnoteReference"/>
          <w:rFonts w:eastAsiaTheme="majorEastAsia"/>
        </w:rPr>
        <w:footnoteRef/>
      </w:r>
      <w:r w:rsidRPr="00964D44">
        <w:t xml:space="preserve"> Surveillance, Epidemiology, and End Results (SEER) Program Public-Use Data (1973-1999). National Cancer Institute, DCCPS, Surveillance Research Program. Cancer Statistics Branch. Released April 2002. Based on November 2004 Submission.</w:t>
      </w:r>
    </w:p>
    <w:p w:rsidR="003E0325" w:rsidRDefault="003E0325" w:rsidP="003E0325">
      <w:pPr>
        <w:pStyle w:val="EndnoteText"/>
      </w:pPr>
    </w:p>
    <w:p w:rsidR="003E0325" w:rsidRDefault="003E0325" w:rsidP="003E0325">
      <w:pPr>
        <w:pStyle w:val="EndnoteText"/>
      </w:pPr>
      <w:r>
        <w:rPr>
          <w:vertAlign w:val="superscript"/>
          <w:lang w:val="en-US"/>
        </w:rPr>
        <w:t xml:space="preserve">26 </w:t>
      </w:r>
      <w:r w:rsidRPr="00F21402">
        <w:t xml:space="preserve">Chang GJ, Hu CY, </w:t>
      </w:r>
      <w:proofErr w:type="spellStart"/>
      <w:r w:rsidRPr="00F21402">
        <w:t>Eng</w:t>
      </w:r>
      <w:proofErr w:type="spellEnd"/>
      <w:r w:rsidRPr="00F21402">
        <w:t xml:space="preserve"> C, et al. Practical application of a calculator for conditional survival in colon cancer. J </w:t>
      </w:r>
      <w:proofErr w:type="spellStart"/>
      <w:r w:rsidRPr="00F21402">
        <w:t>Clin</w:t>
      </w:r>
      <w:proofErr w:type="spellEnd"/>
      <w:r w:rsidRPr="00F21402">
        <w:t xml:space="preserve"> </w:t>
      </w:r>
      <w:proofErr w:type="spellStart"/>
      <w:r w:rsidRPr="00F21402">
        <w:t>Oncol</w:t>
      </w:r>
      <w:proofErr w:type="spellEnd"/>
      <w:r w:rsidRPr="00F21402">
        <w:t xml:space="preserve"> 2009; 27:5938.</w:t>
      </w:r>
    </w:p>
    <w:p w:rsidR="003E0325" w:rsidRDefault="003E0325" w:rsidP="006C5965">
      <w:pPr>
        <w:rPr>
          <w:sz w:val="24"/>
          <w:szCs w:val="24"/>
        </w:rPr>
      </w:pPr>
    </w:p>
    <w:p w:rsidR="00DE2F08" w:rsidRDefault="00DE2F08" w:rsidP="006C5965">
      <w:pPr>
        <w:rPr>
          <w:sz w:val="24"/>
          <w:szCs w:val="24"/>
        </w:rPr>
      </w:pPr>
    </w:p>
    <w:p w:rsidR="00DE2F08" w:rsidRDefault="00DE2F08" w:rsidP="006C5965">
      <w:pPr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 xml:space="preserve">Prostate </w:t>
      </w:r>
      <w:r w:rsidRPr="003E0325">
        <w:rPr>
          <w:color w:val="00B0F0"/>
          <w:sz w:val="24"/>
          <w:szCs w:val="24"/>
        </w:rPr>
        <w:t>Cancer</w:t>
      </w:r>
    </w:p>
    <w:p w:rsidR="00DE2F08" w:rsidRDefault="00DE2F08" w:rsidP="00DE2F08">
      <w:pPr>
        <w:pStyle w:val="EndnoteText"/>
        <w:jc w:val="center"/>
        <w:rPr>
          <w:b/>
        </w:rPr>
      </w:pPr>
      <w:bookmarkStart w:id="0" w:name="_GoBack"/>
      <w:bookmarkEnd w:id="0"/>
    </w:p>
    <w:p w:rsidR="00DE2F08" w:rsidRPr="00551810" w:rsidRDefault="00DE2F08" w:rsidP="00DE2F08">
      <w:pPr>
        <w:pStyle w:val="EndnoteText"/>
        <w:jc w:val="center"/>
        <w:rPr>
          <w:b/>
        </w:rPr>
      </w:pPr>
      <w:r w:rsidRPr="00551810">
        <w:rPr>
          <w:b/>
        </w:rPr>
        <w:t>Endnotes – Prostate Cancer</w:t>
      </w:r>
    </w:p>
    <w:p w:rsidR="00DE2F08" w:rsidRDefault="00DE2F08" w:rsidP="00DE2F08">
      <w:pPr>
        <w:pStyle w:val="EndnoteText"/>
      </w:pPr>
    </w:p>
    <w:p w:rsidR="00DE2F08" w:rsidRDefault="00DE2F08" w:rsidP="00DE2F08">
      <w:pPr>
        <w:pStyle w:val="EndnoteText"/>
      </w:pPr>
    </w:p>
    <w:p w:rsidR="00DE2F08" w:rsidRDefault="00DE2F08" w:rsidP="00DE2F08">
      <w:pPr>
        <w:pStyle w:val="EndnoteText"/>
      </w:pPr>
      <w:r>
        <w:rPr>
          <w:rStyle w:val="EndnoteReference"/>
          <w:rFonts w:eastAsiaTheme="majorEastAsia"/>
        </w:rPr>
        <w:footnoteRef/>
      </w:r>
      <w:r>
        <w:t xml:space="preserve"> Cancer Facts &amp; Figures 2001, American Cancer Society, Inc.</w:t>
      </w:r>
    </w:p>
    <w:p w:rsidR="00DE2F08" w:rsidRDefault="00DE2F08" w:rsidP="00DE2F08">
      <w:pPr>
        <w:pStyle w:val="EndnoteText"/>
      </w:pPr>
    </w:p>
    <w:p w:rsidR="00DE2F08" w:rsidRDefault="00DE2F08" w:rsidP="00DE2F08">
      <w:pPr>
        <w:pStyle w:val="EndnoteText"/>
      </w:pPr>
      <w:r>
        <w:rPr>
          <w:rStyle w:val="EndnoteReference"/>
          <w:rFonts w:eastAsiaTheme="majorEastAsia"/>
        </w:rPr>
        <w:footnoteRef/>
      </w:r>
      <w:r>
        <w:t xml:space="preserve"> </w:t>
      </w:r>
      <w:bookmarkStart w:id="1" w:name="OLE_LINK1"/>
      <w:bookmarkStart w:id="2" w:name="OLE_LINK2"/>
      <w:proofErr w:type="spellStart"/>
      <w:r w:rsidRPr="00BB6E34">
        <w:t>Howlader</w:t>
      </w:r>
      <w:proofErr w:type="spellEnd"/>
      <w:r w:rsidRPr="00BB6E34">
        <w:t xml:space="preserve"> N, </w:t>
      </w:r>
      <w:proofErr w:type="spellStart"/>
      <w:r w:rsidRPr="00BB6E34">
        <w:t>Noone</w:t>
      </w:r>
      <w:proofErr w:type="spellEnd"/>
      <w:r w:rsidRPr="00BB6E34">
        <w:t xml:space="preserve"> AM, </w:t>
      </w:r>
      <w:proofErr w:type="spellStart"/>
      <w:r w:rsidRPr="00BB6E34">
        <w:t>Krapcho</w:t>
      </w:r>
      <w:proofErr w:type="spellEnd"/>
      <w:r w:rsidRPr="00BB6E34">
        <w:t xml:space="preserve"> M, </w:t>
      </w:r>
      <w:proofErr w:type="spellStart"/>
      <w:r w:rsidRPr="00BB6E34">
        <w:t>Garshell</w:t>
      </w:r>
      <w:proofErr w:type="spellEnd"/>
      <w:r w:rsidRPr="00BB6E34">
        <w:t xml:space="preserve"> J, Miller D, </w:t>
      </w:r>
      <w:proofErr w:type="spellStart"/>
      <w:r w:rsidRPr="00BB6E34">
        <w:t>Altekruse</w:t>
      </w:r>
      <w:proofErr w:type="spellEnd"/>
      <w:r w:rsidRPr="00BB6E34">
        <w:t xml:space="preserve"> SF, </w:t>
      </w:r>
      <w:proofErr w:type="spellStart"/>
      <w:r w:rsidRPr="00BB6E34">
        <w:t>Kosary</w:t>
      </w:r>
      <w:proofErr w:type="spellEnd"/>
      <w:r w:rsidRPr="00BB6E34">
        <w:t xml:space="preserve"> CL, Yu M, </w:t>
      </w:r>
      <w:proofErr w:type="spellStart"/>
      <w:r w:rsidRPr="00BB6E34">
        <w:t>Ruhl</w:t>
      </w:r>
      <w:proofErr w:type="spellEnd"/>
      <w:r w:rsidRPr="00BB6E34">
        <w:t xml:space="preserve"> J, </w:t>
      </w:r>
      <w:proofErr w:type="spellStart"/>
      <w:r w:rsidRPr="00BB6E34">
        <w:t>Tatalovich</w:t>
      </w:r>
      <w:proofErr w:type="spellEnd"/>
      <w:r w:rsidRPr="00BB6E34">
        <w:t xml:space="preserve"> Z,</w:t>
      </w:r>
      <w:r>
        <w:t xml:space="preserve"> </w:t>
      </w:r>
      <w:proofErr w:type="spellStart"/>
      <w:r w:rsidRPr="00BB6E34">
        <w:t>Mariotto</w:t>
      </w:r>
      <w:proofErr w:type="spellEnd"/>
      <w:r w:rsidRPr="00BB6E34">
        <w:t xml:space="preserve"> A, Lewis DR, Chen HS, </w:t>
      </w:r>
      <w:proofErr w:type="spellStart"/>
      <w:r w:rsidRPr="00BB6E34">
        <w:t>Feuer</w:t>
      </w:r>
      <w:proofErr w:type="spellEnd"/>
      <w:r w:rsidRPr="00BB6E34">
        <w:t xml:space="preserve"> EJ, Cronin KA (</w:t>
      </w:r>
      <w:proofErr w:type="spellStart"/>
      <w:r w:rsidRPr="00BB6E34">
        <w:t>eds</w:t>
      </w:r>
      <w:proofErr w:type="spellEnd"/>
      <w:r w:rsidRPr="00BB6E34">
        <w:t xml:space="preserve">). SEER Cancer Statistics Review, 1975-2012, National Cancer Institute. Bethesda, MD, </w:t>
      </w:r>
      <w:hyperlink r:id="rId12" w:history="1">
        <w:r w:rsidRPr="00BB6E34">
          <w:t>http://seer.cancer.gov/csr/1975_2012/</w:t>
        </w:r>
      </w:hyperlink>
      <w:r w:rsidRPr="00BB6E34">
        <w:t>, based on November 2014 SEER data submission, posted to the SEER web site, April 2015</w:t>
      </w:r>
      <w:r>
        <w:rPr>
          <w:rFonts w:ascii="Lucida Sans Unicode" w:hAnsi="Lucida Sans Unicode" w:cs="Lucida Sans Unicode"/>
          <w:color w:val="444444"/>
          <w:sz w:val="19"/>
          <w:szCs w:val="19"/>
        </w:rPr>
        <w:t>.</w:t>
      </w:r>
      <w:bookmarkEnd w:id="1"/>
      <w:bookmarkEnd w:id="2"/>
    </w:p>
    <w:p w:rsidR="00DE2F08" w:rsidRDefault="00DE2F08" w:rsidP="00DE2F08">
      <w:pPr>
        <w:pStyle w:val="EndnoteText"/>
      </w:pPr>
    </w:p>
    <w:p w:rsidR="00DE2F08" w:rsidRDefault="00DE2F08" w:rsidP="00DE2F08">
      <w:pPr>
        <w:pStyle w:val="EndnoteText"/>
      </w:pPr>
      <w:r>
        <w:rPr>
          <w:rStyle w:val="EndnoteReference"/>
          <w:rFonts w:eastAsiaTheme="majorEastAsia"/>
        </w:rPr>
        <w:footnoteRef/>
      </w:r>
      <w:r>
        <w:t xml:space="preserve"> Reiter RE, </w:t>
      </w:r>
      <w:proofErr w:type="spellStart"/>
      <w:r>
        <w:t>deKernion</w:t>
      </w:r>
      <w:proofErr w:type="spellEnd"/>
      <w:r>
        <w:t xml:space="preserve"> JB, “Epidemiology, Etiology, and Prevention of Prostate Cancer” in Walsh PC, </w:t>
      </w:r>
      <w:proofErr w:type="spellStart"/>
      <w:r>
        <w:t>Retik</w:t>
      </w:r>
      <w:proofErr w:type="spellEnd"/>
      <w:r>
        <w:t xml:space="preserve"> AB, </w:t>
      </w:r>
      <w:proofErr w:type="spellStart"/>
      <w:r>
        <w:t>Darracott</w:t>
      </w:r>
      <w:proofErr w:type="spellEnd"/>
      <w:r>
        <w:t xml:space="preserve"> Vaughan E, Wein AJ, </w:t>
      </w:r>
      <w:proofErr w:type="spellStart"/>
      <w:r>
        <w:t>eds</w:t>
      </w:r>
      <w:proofErr w:type="spellEnd"/>
      <w:r>
        <w:t xml:space="preserve"> </w:t>
      </w:r>
      <w:r>
        <w:rPr>
          <w:i/>
        </w:rPr>
        <w:t>Campbell’s Urology</w:t>
      </w:r>
      <w:r>
        <w:t>, 8</w:t>
      </w:r>
      <w:r w:rsidRPr="00DA3629">
        <w:rPr>
          <w:vertAlign w:val="superscript"/>
        </w:rPr>
        <w:t>th</w:t>
      </w:r>
      <w:r>
        <w:t xml:space="preserve"> ed., Saunders Elsevier.</w:t>
      </w:r>
    </w:p>
    <w:p w:rsidR="00DE2F08" w:rsidRDefault="00DE2F08" w:rsidP="00DE2F08">
      <w:pPr>
        <w:pStyle w:val="EndnoteText"/>
      </w:pPr>
    </w:p>
    <w:p w:rsidR="00DE2F08" w:rsidRDefault="00DE2F08" w:rsidP="00DE2F08">
      <w:pPr>
        <w:pStyle w:val="EndnoteText"/>
      </w:pPr>
      <w:r>
        <w:rPr>
          <w:rStyle w:val="EndnoteReference"/>
          <w:rFonts w:eastAsiaTheme="majorEastAsia"/>
        </w:rPr>
        <w:footnoteRef/>
      </w:r>
      <w:r w:rsidRPr="00D53F57">
        <w:t xml:space="preserve"> </w:t>
      </w:r>
      <w:r w:rsidRPr="00D01CE5">
        <w:t xml:space="preserve">Siegel R, </w:t>
      </w:r>
      <w:r>
        <w:rPr>
          <w:lang w:val="en-US"/>
        </w:rPr>
        <w:t>Miller KD</w:t>
      </w:r>
      <w:r w:rsidRPr="00D01CE5">
        <w:t xml:space="preserve">, </w:t>
      </w:r>
      <w:proofErr w:type="spellStart"/>
      <w:r w:rsidRPr="00D01CE5">
        <w:t>Jemal</w:t>
      </w:r>
      <w:proofErr w:type="spellEnd"/>
      <w:r w:rsidRPr="00D01CE5">
        <w:t xml:space="preserve"> A, “Cancer Statistics, 201</w:t>
      </w:r>
      <w:r w:rsidRPr="0040014A">
        <w:t xml:space="preserve">9”, CA Cancer J </w:t>
      </w:r>
      <w:proofErr w:type="spellStart"/>
      <w:r w:rsidRPr="0040014A">
        <w:t>Clin</w:t>
      </w:r>
      <w:proofErr w:type="spellEnd"/>
      <w:r w:rsidRPr="0040014A">
        <w:t>, 2019;0:1–28.2015; 65:5-29.</w:t>
      </w:r>
    </w:p>
    <w:p w:rsidR="00DE2F08" w:rsidRDefault="00DE2F08" w:rsidP="00DE2F08">
      <w:pPr>
        <w:pStyle w:val="EndnoteText"/>
      </w:pPr>
      <w:r>
        <w:rPr>
          <w:rStyle w:val="EndnoteReference"/>
          <w:rFonts w:eastAsiaTheme="majorEastAsia"/>
        </w:rPr>
        <w:footnoteRef/>
      </w:r>
      <w:r w:rsidRPr="00D53F57">
        <w:rPr>
          <w:lang w:val="da-DK"/>
        </w:rPr>
        <w:t xml:space="preserve"> Nelson WG, Ballantine Carter H, et al., ”Prostate Cancer” in Abeloff  MD, Armitage JO et al, eds. </w:t>
      </w:r>
      <w:r w:rsidRPr="00DA3629">
        <w:rPr>
          <w:i/>
        </w:rPr>
        <w:t>Clinical Oncology</w:t>
      </w:r>
      <w:r>
        <w:t>, 3</w:t>
      </w:r>
      <w:r w:rsidRPr="00FE55AE">
        <w:rPr>
          <w:vertAlign w:val="superscript"/>
        </w:rPr>
        <w:t>rd</w:t>
      </w:r>
      <w:r>
        <w:t xml:space="preserve"> ed., Churchill Livingstone,</w:t>
      </w:r>
      <w:r w:rsidRPr="002779FE">
        <w:t xml:space="preserve"> </w:t>
      </w:r>
      <w:r>
        <w:t>Elsevier.</w:t>
      </w:r>
    </w:p>
    <w:p w:rsidR="00DE2F08" w:rsidRDefault="00DE2F08" w:rsidP="00DE2F08">
      <w:pPr>
        <w:pStyle w:val="EndnoteText"/>
      </w:pPr>
    </w:p>
    <w:p w:rsidR="00DE2F08" w:rsidRDefault="00DE2F08" w:rsidP="00DE2F08">
      <w:pPr>
        <w:pStyle w:val="EndnoteText"/>
      </w:pPr>
      <w:r>
        <w:rPr>
          <w:rStyle w:val="EndnoteReference"/>
          <w:rFonts w:eastAsiaTheme="majorEastAsia"/>
        </w:rPr>
        <w:footnoteRef/>
      </w:r>
      <w:r>
        <w:t xml:space="preserve"> Boyle P, </w:t>
      </w:r>
      <w:proofErr w:type="spellStart"/>
      <w:r>
        <w:t>Severi</w:t>
      </w:r>
      <w:proofErr w:type="spellEnd"/>
      <w:r>
        <w:t xml:space="preserve"> G, Giles GG, “The Epidemiology of Prostate Cancer”, </w:t>
      </w:r>
      <w:proofErr w:type="spellStart"/>
      <w:r>
        <w:t>Urol</w:t>
      </w:r>
      <w:proofErr w:type="spellEnd"/>
      <w:r>
        <w:t xml:space="preserve"> </w:t>
      </w:r>
      <w:proofErr w:type="spellStart"/>
      <w:r>
        <w:t>Clin</w:t>
      </w:r>
      <w:proofErr w:type="spellEnd"/>
      <w:r>
        <w:t xml:space="preserve"> North Am, 2003; 30:209-17.</w:t>
      </w:r>
    </w:p>
    <w:p w:rsidR="00DE2F08" w:rsidRDefault="00DE2F08" w:rsidP="00DE2F08">
      <w:pPr>
        <w:pStyle w:val="EndnoteText"/>
      </w:pPr>
    </w:p>
    <w:p w:rsidR="00DE2F08" w:rsidRDefault="00DE2F08" w:rsidP="00DE2F08">
      <w:pPr>
        <w:pStyle w:val="EndnoteText"/>
      </w:pPr>
      <w:r>
        <w:rPr>
          <w:rStyle w:val="EndnoteReference"/>
          <w:rFonts w:eastAsiaTheme="majorEastAsia"/>
        </w:rPr>
        <w:footnoteRef/>
      </w:r>
      <w:r>
        <w:t xml:space="preserve"> </w:t>
      </w:r>
      <w:proofErr w:type="spellStart"/>
      <w:r w:rsidRPr="00B15E3E">
        <w:t>Bratt</w:t>
      </w:r>
      <w:proofErr w:type="spellEnd"/>
      <w:r w:rsidRPr="00B15E3E">
        <w:t xml:space="preserve"> O, </w:t>
      </w:r>
      <w:proofErr w:type="spellStart"/>
      <w:r w:rsidRPr="00B15E3E">
        <w:t>Drevin</w:t>
      </w:r>
      <w:proofErr w:type="spellEnd"/>
      <w:r w:rsidRPr="00B15E3E">
        <w:t xml:space="preserve"> L, </w:t>
      </w:r>
      <w:proofErr w:type="spellStart"/>
      <w:r w:rsidRPr="00B15E3E">
        <w:t>Akre</w:t>
      </w:r>
      <w:proofErr w:type="spellEnd"/>
      <w:r w:rsidRPr="00B15E3E">
        <w:t xml:space="preserve"> O</w:t>
      </w:r>
      <w:r>
        <w:rPr>
          <w:lang w:val="en-US"/>
        </w:rPr>
        <w:t>, et al.</w:t>
      </w:r>
      <w:r w:rsidRPr="00B15E3E">
        <w:t xml:space="preserve"> </w:t>
      </w:r>
      <w:r>
        <w:t>Family History and Probability of Prostate Cancer, Differentiated by Risk Category: A Nationwide Population-Based Study.</w:t>
      </w:r>
      <w:r>
        <w:rPr>
          <w:lang w:val="en-US"/>
        </w:rPr>
        <w:t xml:space="preserve"> </w:t>
      </w:r>
      <w:r>
        <w:t xml:space="preserve">J Natl Cancer Inst. 2016 Oct;108(10) </w:t>
      </w:r>
    </w:p>
    <w:p w:rsidR="00DE2F08" w:rsidRDefault="00DE2F08" w:rsidP="00DE2F08">
      <w:pPr>
        <w:pStyle w:val="EndnoteText"/>
      </w:pPr>
    </w:p>
    <w:p w:rsidR="00DE2F08" w:rsidRDefault="00DE2F08" w:rsidP="00DE2F08">
      <w:pPr>
        <w:pStyle w:val="EndnoteText"/>
        <w:rPr>
          <w:lang w:val="en-US"/>
        </w:rPr>
      </w:pPr>
      <w:r>
        <w:rPr>
          <w:rStyle w:val="EndnoteReference"/>
          <w:rFonts w:eastAsiaTheme="majorEastAsia"/>
        </w:rPr>
        <w:footnoteRef/>
      </w:r>
      <w:r>
        <w:t xml:space="preserve"> </w:t>
      </w:r>
      <w:r>
        <w:rPr>
          <w:lang w:val="en-US"/>
        </w:rPr>
        <w:t xml:space="preserve">PDQ Cancer Genetics Editorial </w:t>
      </w:r>
      <w:proofErr w:type="gramStart"/>
      <w:r>
        <w:rPr>
          <w:lang w:val="en-US"/>
        </w:rPr>
        <w:t>Board ,</w:t>
      </w:r>
      <w:proofErr w:type="gramEnd"/>
      <w:r>
        <w:rPr>
          <w:lang w:val="en-US"/>
        </w:rPr>
        <w:t xml:space="preserve"> “Genetics of Prostate Cancer (PDQ)”, Published Online, December 10, 2015.</w:t>
      </w:r>
    </w:p>
    <w:p w:rsidR="00DE2F08" w:rsidRPr="00E5047A" w:rsidRDefault="00DE2F08" w:rsidP="00DE2F08">
      <w:pPr>
        <w:pStyle w:val="EndnoteText"/>
        <w:rPr>
          <w:lang w:val="en-US"/>
        </w:rPr>
      </w:pPr>
    </w:p>
    <w:p w:rsidR="00DE2F08" w:rsidRDefault="00DE2F08" w:rsidP="00DE2F08">
      <w:pPr>
        <w:pStyle w:val="EndnoteText"/>
        <w:rPr>
          <w:lang w:val="en-US"/>
        </w:rPr>
      </w:pPr>
      <w:r>
        <w:rPr>
          <w:rStyle w:val="EndnoteReference"/>
          <w:rFonts w:eastAsiaTheme="majorEastAsia"/>
        </w:rPr>
        <w:footnoteRef/>
      </w:r>
      <w:r>
        <w:t xml:space="preserve"> </w:t>
      </w:r>
      <w:r w:rsidRPr="00BB3BCF">
        <w:rPr>
          <w:lang w:val="de-DE"/>
        </w:rPr>
        <w:t xml:space="preserve">Bekelman JE, Rumble RB, Chen RC, et al. </w:t>
      </w:r>
      <w:r w:rsidRPr="00520CE0">
        <w:rPr>
          <w:lang w:val="en-US"/>
        </w:rPr>
        <w:t xml:space="preserve">Clinically Localized Prostate Cancer: ASCO Clinical Practice Guideline Endorsement of an American Urological Association/American Society for Radiation Oncology/Society of Urologic Oncology Guideline. J </w:t>
      </w:r>
      <w:proofErr w:type="spellStart"/>
      <w:r w:rsidRPr="00520CE0">
        <w:rPr>
          <w:lang w:val="en-US"/>
        </w:rPr>
        <w:t>Clin</w:t>
      </w:r>
      <w:proofErr w:type="spellEnd"/>
      <w:r w:rsidRPr="00520CE0">
        <w:rPr>
          <w:lang w:val="en-US"/>
        </w:rPr>
        <w:t xml:space="preserve"> </w:t>
      </w:r>
      <w:proofErr w:type="spellStart"/>
      <w:r w:rsidRPr="00520CE0">
        <w:rPr>
          <w:lang w:val="en-US"/>
        </w:rPr>
        <w:t>Oncol</w:t>
      </w:r>
      <w:proofErr w:type="spellEnd"/>
      <w:r w:rsidRPr="00520CE0">
        <w:rPr>
          <w:lang w:val="en-US"/>
        </w:rPr>
        <w:t xml:space="preserve"> 2018</w:t>
      </w:r>
      <w:proofErr w:type="gramStart"/>
      <w:r w:rsidRPr="00520CE0">
        <w:rPr>
          <w:lang w:val="en-US"/>
        </w:rPr>
        <w:t>; :</w:t>
      </w:r>
      <w:proofErr w:type="gramEnd"/>
      <w:r w:rsidRPr="00520CE0">
        <w:rPr>
          <w:lang w:val="en-US"/>
        </w:rPr>
        <w:t>JCO1800606.</w:t>
      </w:r>
    </w:p>
    <w:p w:rsidR="00DE2F08" w:rsidRPr="000E5A2F" w:rsidRDefault="00DE2F08" w:rsidP="00DE2F08">
      <w:pPr>
        <w:pStyle w:val="EndnoteText"/>
      </w:pPr>
    </w:p>
    <w:p w:rsidR="00DE2F08" w:rsidRDefault="00DE2F08" w:rsidP="00DE2F08">
      <w:pPr>
        <w:pStyle w:val="EndnoteText"/>
      </w:pPr>
      <w:r>
        <w:rPr>
          <w:rStyle w:val="EndnoteReference"/>
          <w:rFonts w:eastAsiaTheme="majorEastAsia"/>
        </w:rPr>
        <w:footnoteRef/>
      </w:r>
      <w:r>
        <w:t xml:space="preserve"> </w:t>
      </w:r>
      <w:proofErr w:type="spellStart"/>
      <w:r>
        <w:t>Alibhai</w:t>
      </w:r>
      <w:proofErr w:type="spellEnd"/>
      <w:r>
        <w:t xml:space="preserve"> MH, “What is Prevalence of Prostate Cancer Among Men with Low Prostate-Specific Antigen/”, N </w:t>
      </w:r>
      <w:proofErr w:type="spellStart"/>
      <w:r>
        <w:t>Engl</w:t>
      </w:r>
      <w:proofErr w:type="spellEnd"/>
      <w:r>
        <w:t xml:space="preserve"> J Med, 2004; 350:2239-46.</w:t>
      </w:r>
    </w:p>
    <w:p w:rsidR="00DE2F08" w:rsidRDefault="00DE2F08" w:rsidP="00DE2F08">
      <w:pPr>
        <w:pStyle w:val="EndnoteText"/>
      </w:pPr>
    </w:p>
    <w:p w:rsidR="00DE2F08" w:rsidRDefault="00DE2F08" w:rsidP="00DE2F08">
      <w:pPr>
        <w:pStyle w:val="EndnoteText"/>
        <w:rPr>
          <w:lang w:val="en-US"/>
        </w:rPr>
      </w:pPr>
      <w:r>
        <w:rPr>
          <w:rStyle w:val="EndnoteReference"/>
          <w:rFonts w:eastAsiaTheme="majorEastAsia"/>
        </w:rPr>
        <w:lastRenderedPageBreak/>
        <w:footnoteRef/>
      </w:r>
      <w:r>
        <w:t xml:space="preserve"> </w:t>
      </w:r>
      <w:proofErr w:type="spellStart"/>
      <w:r>
        <w:rPr>
          <w:lang w:val="en-US"/>
        </w:rPr>
        <w:t>Borofsky</w:t>
      </w:r>
      <w:proofErr w:type="spellEnd"/>
      <w:r>
        <w:rPr>
          <w:lang w:val="en-US"/>
        </w:rPr>
        <w:t xml:space="preserve"> MS, Makarov DV, “PSA Velocity in Prostate Cancer Screening-the Debate Continues”, Nat Rev </w:t>
      </w:r>
      <w:proofErr w:type="spellStart"/>
      <w:r>
        <w:rPr>
          <w:lang w:val="en-US"/>
        </w:rPr>
        <w:t>Urol</w:t>
      </w:r>
      <w:proofErr w:type="spellEnd"/>
      <w:r>
        <w:rPr>
          <w:lang w:val="en-US"/>
        </w:rPr>
        <w:t>, 2011; 8:413-414.</w:t>
      </w:r>
    </w:p>
    <w:p w:rsidR="00DE2F08" w:rsidRPr="00E5047A" w:rsidRDefault="00DE2F08" w:rsidP="00DE2F08">
      <w:pPr>
        <w:pStyle w:val="EndnoteText"/>
        <w:rPr>
          <w:lang w:val="en-US"/>
        </w:rPr>
      </w:pPr>
    </w:p>
    <w:p w:rsidR="00DE2F08" w:rsidRDefault="00DE2F08" w:rsidP="00DE2F08">
      <w:pPr>
        <w:rPr>
          <w:rStyle w:val="Hyperlink"/>
          <w:sz w:val="20"/>
          <w:szCs w:val="20"/>
        </w:rPr>
      </w:pPr>
      <w:r w:rsidRPr="005922BE">
        <w:rPr>
          <w:rStyle w:val="EndnoteReference"/>
          <w:rFonts w:eastAsiaTheme="majorEastAsia"/>
          <w:szCs w:val="20"/>
        </w:rPr>
        <w:footnoteRef/>
      </w:r>
      <w:r w:rsidRPr="005922BE">
        <w:rPr>
          <w:sz w:val="20"/>
          <w:szCs w:val="20"/>
        </w:rPr>
        <w:t xml:space="preserve"> </w:t>
      </w:r>
      <w:r w:rsidRPr="00FC5CD0">
        <w:rPr>
          <w:rStyle w:val="Hyperlink"/>
          <w:sz w:val="20"/>
          <w:szCs w:val="20"/>
        </w:rPr>
        <w:t>US Preventive Services Task Force. Screening for Prostate Cancer: US Preventive Services Task Force Recommendation Statement. JAMA. 2018</w:t>
      </w:r>
      <w:proofErr w:type="gramStart"/>
      <w:r w:rsidRPr="00FC5CD0">
        <w:rPr>
          <w:rStyle w:val="Hyperlink"/>
          <w:sz w:val="20"/>
          <w:szCs w:val="20"/>
        </w:rPr>
        <w:t>;319</w:t>
      </w:r>
      <w:proofErr w:type="gramEnd"/>
      <w:r w:rsidRPr="00FC5CD0">
        <w:rPr>
          <w:rStyle w:val="Hyperlink"/>
          <w:sz w:val="20"/>
          <w:szCs w:val="20"/>
        </w:rPr>
        <w:t xml:space="preserve">(18):1901–1913. </w:t>
      </w:r>
    </w:p>
    <w:p w:rsidR="00DE2F08" w:rsidRDefault="00DE2F08" w:rsidP="00DE2F08"/>
    <w:p w:rsidR="00DE2F08" w:rsidRDefault="00DE2F08" w:rsidP="00DE2F08">
      <w:pPr>
        <w:pStyle w:val="EndnoteText"/>
      </w:pPr>
      <w:r>
        <w:rPr>
          <w:rStyle w:val="EndnoteReference"/>
          <w:rFonts w:eastAsiaTheme="majorEastAsia"/>
        </w:rPr>
        <w:footnoteRef/>
      </w:r>
      <w:r>
        <w:t xml:space="preserve"> </w:t>
      </w:r>
      <w:proofErr w:type="spellStart"/>
      <w:r w:rsidRPr="00EF0CB9">
        <w:t>Tsodikov</w:t>
      </w:r>
      <w:proofErr w:type="spellEnd"/>
      <w:r w:rsidRPr="00EF0CB9">
        <w:t xml:space="preserve"> A, Gulati R, </w:t>
      </w:r>
      <w:proofErr w:type="spellStart"/>
      <w:r w:rsidRPr="00EF0CB9">
        <w:t>Heijnsdijk</w:t>
      </w:r>
      <w:proofErr w:type="spellEnd"/>
      <w:r w:rsidRPr="00EF0CB9">
        <w:t xml:space="preserve"> EAM, et al. Reconciling the Effects of Screening on Prostate Cancer Mortality in the ERSPC and PLCO Trials. Ann Intern Med. 2017;167(7):449-455.</w:t>
      </w:r>
    </w:p>
    <w:p w:rsidR="00DE2F08" w:rsidRDefault="00DE2F08" w:rsidP="00DE2F08">
      <w:pPr>
        <w:pStyle w:val="EndnoteText"/>
      </w:pPr>
    </w:p>
    <w:p w:rsidR="00DE2F08" w:rsidRDefault="00DE2F08" w:rsidP="00DE2F08">
      <w:pPr>
        <w:pStyle w:val="EndnoteText"/>
        <w:rPr>
          <w:lang w:val="en-US"/>
        </w:rPr>
      </w:pPr>
      <w:r>
        <w:rPr>
          <w:vertAlign w:val="superscript"/>
          <w:lang w:val="en-US"/>
        </w:rPr>
        <w:t xml:space="preserve">15 </w:t>
      </w:r>
      <w:proofErr w:type="spellStart"/>
      <w:r>
        <w:rPr>
          <w:lang w:val="en-US"/>
        </w:rPr>
        <w:t>Tosoian</w:t>
      </w:r>
      <w:proofErr w:type="spellEnd"/>
      <w:r>
        <w:rPr>
          <w:lang w:val="en-US"/>
        </w:rPr>
        <w:t xml:space="preserve"> JJ, Ross AE, et al., “Urinary Biomarkers for Prostate Cancer”, </w:t>
      </w:r>
      <w:proofErr w:type="spellStart"/>
      <w:r>
        <w:rPr>
          <w:lang w:val="en-US"/>
        </w:rPr>
        <w:t>Urol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Clin</w:t>
      </w:r>
      <w:proofErr w:type="spellEnd"/>
      <w:r>
        <w:rPr>
          <w:lang w:val="en-US"/>
        </w:rPr>
        <w:t xml:space="preserve"> N Am, 2016; 43:17-38.</w:t>
      </w:r>
    </w:p>
    <w:p w:rsidR="00DE2F08" w:rsidRPr="00E5047A" w:rsidRDefault="00DE2F08" w:rsidP="00DE2F08">
      <w:pPr>
        <w:pStyle w:val="EndnoteText"/>
        <w:rPr>
          <w:lang w:val="en-US"/>
        </w:rPr>
      </w:pPr>
      <w:r>
        <w:rPr>
          <w:rStyle w:val="EndnoteReference"/>
          <w:rFonts w:eastAsiaTheme="majorEastAsia"/>
          <w:lang w:val="en-US"/>
        </w:rPr>
        <w:t>1</w:t>
      </w:r>
      <w:r w:rsidRPr="00BB3BCF">
        <w:rPr>
          <w:vertAlign w:val="superscript"/>
          <w:lang w:val="en-US"/>
        </w:rPr>
        <w:t>6</w:t>
      </w:r>
      <w:r>
        <w:t xml:space="preserve"> </w:t>
      </w:r>
      <w:proofErr w:type="spellStart"/>
      <w:r>
        <w:t>Getzenberg</w:t>
      </w:r>
      <w:proofErr w:type="spellEnd"/>
      <w:r>
        <w:t xml:space="preserve"> RH, </w:t>
      </w:r>
      <w:proofErr w:type="spellStart"/>
      <w:r>
        <w:t>Partin</w:t>
      </w:r>
      <w:proofErr w:type="spellEnd"/>
      <w:r>
        <w:t xml:space="preserve"> AW, “Prostate Cancer Tumor Markers”, in Wein AJ, </w:t>
      </w:r>
      <w:proofErr w:type="spellStart"/>
      <w:r>
        <w:t>Kavoussi</w:t>
      </w:r>
      <w:proofErr w:type="spellEnd"/>
      <w:r>
        <w:t xml:space="preserve"> LR, et al., eds. Wein: Campbell-Walsh Urology, 10</w:t>
      </w:r>
      <w:r w:rsidRPr="002D53DB">
        <w:rPr>
          <w:vertAlign w:val="superscript"/>
        </w:rPr>
        <w:t>th</w:t>
      </w:r>
      <w:r>
        <w:t xml:space="preserve"> ed., Saunders Elsevier</w:t>
      </w:r>
      <w:r>
        <w:rPr>
          <w:lang w:val="en-US"/>
        </w:rPr>
        <w:t>.</w:t>
      </w:r>
    </w:p>
    <w:p w:rsidR="00DE2F08" w:rsidRDefault="00DE2F08" w:rsidP="00DE2F08">
      <w:pPr>
        <w:pStyle w:val="EndnoteText"/>
      </w:pPr>
    </w:p>
    <w:p w:rsidR="00DE2F08" w:rsidRDefault="00DE2F08" w:rsidP="00DE2F08">
      <w:pPr>
        <w:pStyle w:val="EndnoteText"/>
      </w:pPr>
      <w:r>
        <w:rPr>
          <w:vertAlign w:val="superscript"/>
          <w:lang w:val="en-US"/>
        </w:rPr>
        <w:t>17</w:t>
      </w:r>
      <w:r>
        <w:t xml:space="preserve"> </w:t>
      </w:r>
      <w:proofErr w:type="spellStart"/>
      <w:r>
        <w:t>Shariat</w:t>
      </w:r>
      <w:proofErr w:type="spellEnd"/>
      <w:r>
        <w:t xml:space="preserve"> SF, </w:t>
      </w:r>
      <w:proofErr w:type="spellStart"/>
      <w:r>
        <w:t>Semjonow</w:t>
      </w:r>
      <w:proofErr w:type="spellEnd"/>
      <w:r>
        <w:t xml:space="preserve"> A, et al., “Tumor Markers in Prostate Cancer I: Blood Based Markers”, </w:t>
      </w:r>
      <w:proofErr w:type="spellStart"/>
      <w:r>
        <w:t>Acta</w:t>
      </w:r>
      <w:proofErr w:type="spellEnd"/>
      <w:r>
        <w:t xml:space="preserve"> </w:t>
      </w:r>
      <w:proofErr w:type="spellStart"/>
      <w:r>
        <w:t>Oncol</w:t>
      </w:r>
      <w:proofErr w:type="spellEnd"/>
      <w:r>
        <w:t>, 2011</w:t>
      </w:r>
      <w:proofErr w:type="gramStart"/>
      <w:r>
        <w:t>;50</w:t>
      </w:r>
      <w:proofErr w:type="gramEnd"/>
      <w:r>
        <w:t xml:space="preserve"> (</w:t>
      </w:r>
      <w:proofErr w:type="spellStart"/>
      <w:r>
        <w:t>Suppl</w:t>
      </w:r>
      <w:proofErr w:type="spellEnd"/>
      <w:r>
        <w:t xml:space="preserve"> 1):61-75.</w:t>
      </w:r>
    </w:p>
    <w:p w:rsidR="00DE2F08" w:rsidRDefault="00DE2F08" w:rsidP="00DE2F08">
      <w:pPr>
        <w:pStyle w:val="EndnoteText"/>
      </w:pPr>
    </w:p>
    <w:p w:rsidR="00DE2F08" w:rsidRDefault="00DE2F08" w:rsidP="00DE2F08">
      <w:pPr>
        <w:pStyle w:val="EndnoteText"/>
      </w:pPr>
      <w:r>
        <w:rPr>
          <w:vertAlign w:val="superscript"/>
          <w:lang w:val="en-US"/>
        </w:rPr>
        <w:t>18</w:t>
      </w:r>
      <w:r>
        <w:t xml:space="preserve"> Hansen J, Rink M, Assays for Prostate Cancer: </w:t>
      </w:r>
      <w:proofErr w:type="gramStart"/>
      <w:r>
        <w:t>Changing  the</w:t>
      </w:r>
      <w:proofErr w:type="gramEnd"/>
      <w:r>
        <w:t xml:space="preserve"> Screening Paradigm?”, </w:t>
      </w:r>
      <w:proofErr w:type="spellStart"/>
      <w:r>
        <w:t>Mol</w:t>
      </w:r>
      <w:proofErr w:type="spellEnd"/>
      <w:r>
        <w:t xml:space="preserve"> </w:t>
      </w:r>
      <w:proofErr w:type="spellStart"/>
      <w:r>
        <w:t>Diagn</w:t>
      </w:r>
      <w:proofErr w:type="spellEnd"/>
      <w:r>
        <w:t xml:space="preserve"> </w:t>
      </w:r>
      <w:proofErr w:type="spellStart"/>
      <w:r>
        <w:t>Ther</w:t>
      </w:r>
      <w:proofErr w:type="spellEnd"/>
      <w:r>
        <w:t>, 2013; 17:1-8.</w:t>
      </w:r>
    </w:p>
    <w:p w:rsidR="00DE2F08" w:rsidRDefault="00DE2F08" w:rsidP="00DE2F08">
      <w:pPr>
        <w:pStyle w:val="EndnoteText"/>
      </w:pPr>
    </w:p>
    <w:p w:rsidR="00DE2F08" w:rsidRDefault="00DE2F08" w:rsidP="00DE2F08">
      <w:pPr>
        <w:pStyle w:val="EndnoteText"/>
      </w:pPr>
      <w:r>
        <w:rPr>
          <w:vertAlign w:val="superscript"/>
          <w:lang w:val="en-US"/>
        </w:rPr>
        <w:t>19</w:t>
      </w:r>
      <w:r>
        <w:t xml:space="preserve"> </w:t>
      </w:r>
      <w:proofErr w:type="spellStart"/>
      <w:r>
        <w:t>Auprich</w:t>
      </w:r>
      <w:proofErr w:type="spellEnd"/>
      <w:r>
        <w:t xml:space="preserve"> M, </w:t>
      </w:r>
      <w:proofErr w:type="spellStart"/>
      <w:r>
        <w:t>Bjartell</w:t>
      </w:r>
      <w:proofErr w:type="spellEnd"/>
      <w:r>
        <w:t xml:space="preserve"> A, et al., “Contemporary Role of Prostate Cancer Antigen 3 in the Management of Prostate Cancer”, </w:t>
      </w:r>
      <w:proofErr w:type="spellStart"/>
      <w:r>
        <w:t>Eur</w:t>
      </w:r>
      <w:proofErr w:type="spellEnd"/>
      <w:r>
        <w:t xml:space="preserve"> </w:t>
      </w:r>
      <w:proofErr w:type="spellStart"/>
      <w:r>
        <w:t>Urol</w:t>
      </w:r>
      <w:proofErr w:type="spellEnd"/>
      <w:r>
        <w:t>, 2011; 60:1045-1054.</w:t>
      </w:r>
    </w:p>
    <w:p w:rsidR="00DE2F08" w:rsidRDefault="00DE2F08" w:rsidP="00DE2F08">
      <w:pPr>
        <w:pStyle w:val="EndnoteText"/>
      </w:pPr>
    </w:p>
    <w:p w:rsidR="00DE2F08" w:rsidRDefault="00DE2F08" w:rsidP="00DE2F08">
      <w:pPr>
        <w:pStyle w:val="EndnoteText"/>
      </w:pPr>
    </w:p>
    <w:p w:rsidR="00DE2F08" w:rsidRDefault="00DE2F08" w:rsidP="00DE2F08">
      <w:pPr>
        <w:pStyle w:val="EndnoteText"/>
      </w:pPr>
      <w:r>
        <w:rPr>
          <w:rStyle w:val="EndnoteReference"/>
          <w:rFonts w:eastAsiaTheme="majorEastAsia"/>
        </w:rPr>
        <w:footnoteRef/>
      </w:r>
      <w:r>
        <w:t xml:space="preserve"> Wilson SS, Crawford WD, “Screening for Prostate Cancer: Current Recommendations”, </w:t>
      </w:r>
      <w:proofErr w:type="spellStart"/>
      <w:r>
        <w:t>Urol</w:t>
      </w:r>
      <w:proofErr w:type="spellEnd"/>
      <w:r>
        <w:t xml:space="preserve"> </w:t>
      </w:r>
      <w:proofErr w:type="spellStart"/>
      <w:r>
        <w:t>Clin</w:t>
      </w:r>
      <w:proofErr w:type="spellEnd"/>
      <w:r>
        <w:t xml:space="preserve"> N Am, 2004; 31:219-26.</w:t>
      </w:r>
    </w:p>
    <w:p w:rsidR="00DE2F08" w:rsidRDefault="00DE2F08" w:rsidP="00DE2F08">
      <w:pPr>
        <w:pStyle w:val="EndnoteText"/>
      </w:pPr>
    </w:p>
    <w:p w:rsidR="00DE2F08" w:rsidRDefault="00DE2F08" w:rsidP="00DE2F08">
      <w:pPr>
        <w:pStyle w:val="EndnoteText"/>
      </w:pPr>
      <w:r>
        <w:rPr>
          <w:rStyle w:val="EndnoteReference"/>
          <w:rFonts w:eastAsiaTheme="majorEastAsia"/>
        </w:rPr>
        <w:footnoteRef/>
      </w:r>
      <w:r>
        <w:t xml:space="preserve"> Han M, Gann PH, </w:t>
      </w:r>
      <w:proofErr w:type="spellStart"/>
      <w:r>
        <w:t>Catalona</w:t>
      </w:r>
      <w:proofErr w:type="spellEnd"/>
      <w:r>
        <w:t xml:space="preserve"> WJ, “Prostate-Specific Antigen and Screening for Prostate Cancer”, Med </w:t>
      </w:r>
      <w:proofErr w:type="spellStart"/>
      <w:r>
        <w:t>Clin</w:t>
      </w:r>
      <w:proofErr w:type="spellEnd"/>
      <w:r>
        <w:t xml:space="preserve"> N Am, 2004; 88:245-65.</w:t>
      </w:r>
    </w:p>
    <w:p w:rsidR="00DE2F08" w:rsidRDefault="00DE2F08" w:rsidP="00DE2F08">
      <w:pPr>
        <w:pStyle w:val="EndnoteText"/>
      </w:pPr>
    </w:p>
    <w:p w:rsidR="00DE2F08" w:rsidRDefault="00DE2F08" w:rsidP="00DE2F08">
      <w:pPr>
        <w:pStyle w:val="EndnoteText"/>
      </w:pPr>
      <w:r>
        <w:rPr>
          <w:rStyle w:val="EndnoteReference"/>
          <w:rFonts w:eastAsiaTheme="majorEastAsia"/>
        </w:rPr>
        <w:footnoteRef/>
      </w:r>
      <w:r>
        <w:t xml:space="preserve"> Hernandez J, Thompson IM, “Diagnosis and Treatment of Prostate Cancer”, Med </w:t>
      </w:r>
      <w:proofErr w:type="spellStart"/>
      <w:r>
        <w:t>Clin</w:t>
      </w:r>
      <w:proofErr w:type="spellEnd"/>
      <w:r>
        <w:t xml:space="preserve"> N Am, 2004; 88:267-79.</w:t>
      </w:r>
    </w:p>
    <w:p w:rsidR="00DE2F08" w:rsidRDefault="00DE2F08" w:rsidP="00DE2F08">
      <w:pPr>
        <w:pStyle w:val="EndnoteText"/>
      </w:pPr>
    </w:p>
    <w:p w:rsidR="00DE2F08" w:rsidRDefault="00DE2F08" w:rsidP="00DE2F08">
      <w:pPr>
        <w:pStyle w:val="EndnoteText"/>
      </w:pPr>
      <w:r>
        <w:rPr>
          <w:rStyle w:val="EndnoteReference"/>
          <w:rFonts w:eastAsiaTheme="majorEastAsia"/>
        </w:rPr>
        <w:footnoteRef/>
      </w:r>
      <w:r>
        <w:t xml:space="preserve"> </w:t>
      </w:r>
      <w:proofErr w:type="spellStart"/>
      <w:r w:rsidRPr="00127E9A">
        <w:t>Kasivisvanathan</w:t>
      </w:r>
      <w:proofErr w:type="spellEnd"/>
      <w:r w:rsidRPr="00127E9A">
        <w:t xml:space="preserve"> V, </w:t>
      </w:r>
      <w:proofErr w:type="spellStart"/>
      <w:r w:rsidRPr="00127E9A">
        <w:t>Rannikko</w:t>
      </w:r>
      <w:proofErr w:type="spellEnd"/>
      <w:r w:rsidRPr="00127E9A">
        <w:t xml:space="preserve"> AS, </w:t>
      </w:r>
      <w:proofErr w:type="spellStart"/>
      <w:r w:rsidRPr="00127E9A">
        <w:t>Borghi</w:t>
      </w:r>
      <w:proofErr w:type="spellEnd"/>
      <w:r w:rsidRPr="00127E9A">
        <w:t xml:space="preserve"> M, et al. MRI-Targeted or Standard Biopsy for Prostate-Cancer Diagnosis. N </w:t>
      </w:r>
      <w:proofErr w:type="spellStart"/>
      <w:r w:rsidRPr="00127E9A">
        <w:t>Engl</w:t>
      </w:r>
      <w:proofErr w:type="spellEnd"/>
      <w:r w:rsidRPr="00127E9A">
        <w:t xml:space="preserve"> J Med 2018; 378:1767.</w:t>
      </w:r>
      <w:r>
        <w:t>.</w:t>
      </w:r>
    </w:p>
    <w:p w:rsidR="00DE2F08" w:rsidRDefault="00DE2F08" w:rsidP="00DE2F08">
      <w:pPr>
        <w:pStyle w:val="EndnoteText"/>
      </w:pPr>
    </w:p>
    <w:p w:rsidR="00DE2F08" w:rsidRDefault="00DE2F08" w:rsidP="00DE2F08">
      <w:pPr>
        <w:pStyle w:val="EndnoteText"/>
      </w:pPr>
      <w:r>
        <w:rPr>
          <w:rStyle w:val="EndnoteReference"/>
          <w:rFonts w:eastAsiaTheme="majorEastAsia"/>
        </w:rPr>
        <w:footnoteRef/>
      </w:r>
      <w:r>
        <w:t xml:space="preserve"> </w:t>
      </w:r>
      <w:r w:rsidRPr="00247314">
        <w:t xml:space="preserve">Epstein JI, </w:t>
      </w:r>
      <w:proofErr w:type="spellStart"/>
      <w:r w:rsidRPr="00247314">
        <w:t>Egevad</w:t>
      </w:r>
      <w:proofErr w:type="spellEnd"/>
      <w:r w:rsidRPr="00247314">
        <w:t xml:space="preserve"> L, Amin MB, et al. The 2014 International Society of Urological Pathology (ISUP) Consensus Conference on Gleason Grading of Prostatic Carcinoma: Definition of Grading Patterns and Proposal for a New Grading System. Am J </w:t>
      </w:r>
      <w:proofErr w:type="spellStart"/>
      <w:r w:rsidRPr="00247314">
        <w:t>Surg</w:t>
      </w:r>
      <w:proofErr w:type="spellEnd"/>
      <w:r w:rsidRPr="00247314">
        <w:t xml:space="preserve"> </w:t>
      </w:r>
      <w:proofErr w:type="spellStart"/>
      <w:r w:rsidRPr="00247314">
        <w:t>Pathol</w:t>
      </w:r>
      <w:proofErr w:type="spellEnd"/>
      <w:r w:rsidRPr="00247314">
        <w:t xml:space="preserve"> 2016; 40:244.</w:t>
      </w:r>
    </w:p>
    <w:p w:rsidR="00DE2F08" w:rsidRDefault="00DE2F08" w:rsidP="00DE2F08">
      <w:pPr>
        <w:pStyle w:val="EndnoteText"/>
      </w:pPr>
    </w:p>
    <w:p w:rsidR="00DE2F08" w:rsidRDefault="00DE2F08" w:rsidP="00DE2F08">
      <w:pPr>
        <w:pStyle w:val="EndnoteText"/>
      </w:pPr>
      <w:r>
        <w:rPr>
          <w:rStyle w:val="EndnoteReference"/>
          <w:rFonts w:eastAsiaTheme="majorEastAsia"/>
        </w:rPr>
        <w:footnoteRef/>
      </w:r>
      <w:r>
        <w:t xml:space="preserve"> </w:t>
      </w:r>
      <w:proofErr w:type="spellStart"/>
      <w:r w:rsidRPr="0068435D">
        <w:t>Özsoy</w:t>
      </w:r>
      <w:proofErr w:type="spellEnd"/>
      <w:r w:rsidRPr="0068435D">
        <w:t xml:space="preserve"> M, </w:t>
      </w:r>
      <w:proofErr w:type="spellStart"/>
      <w:r w:rsidRPr="0068435D">
        <w:t>D'Andrea</w:t>
      </w:r>
      <w:proofErr w:type="spellEnd"/>
      <w:r w:rsidRPr="0068435D">
        <w:t xml:space="preserve"> D, </w:t>
      </w:r>
      <w:proofErr w:type="spellStart"/>
      <w:r w:rsidRPr="0068435D">
        <w:t>Moschini</w:t>
      </w:r>
      <w:proofErr w:type="spellEnd"/>
      <w:r w:rsidRPr="0068435D">
        <w:t xml:space="preserve"> M, et al. Tertiary Gleason pattern in radical prostatectomy specimens is associated with worse outcomes than the next higher Gleason score group in localized prostate cancer. </w:t>
      </w:r>
      <w:proofErr w:type="spellStart"/>
      <w:r w:rsidRPr="0068435D">
        <w:t>Urol</w:t>
      </w:r>
      <w:proofErr w:type="spellEnd"/>
      <w:r w:rsidRPr="0068435D">
        <w:t xml:space="preserve"> </w:t>
      </w:r>
      <w:proofErr w:type="spellStart"/>
      <w:r w:rsidRPr="0068435D">
        <w:t>Oncol</w:t>
      </w:r>
      <w:proofErr w:type="spellEnd"/>
      <w:r w:rsidRPr="0068435D">
        <w:t xml:space="preserve"> 2018; 36:158.e1. </w:t>
      </w:r>
    </w:p>
    <w:p w:rsidR="00DE2F08" w:rsidRDefault="00DE2F08" w:rsidP="00DE2F08">
      <w:pPr>
        <w:pStyle w:val="EndnoteText"/>
      </w:pPr>
    </w:p>
    <w:p w:rsidR="00DE2F08" w:rsidRDefault="00DE2F08" w:rsidP="00DE2F08">
      <w:pPr>
        <w:pStyle w:val="EndnoteText"/>
      </w:pPr>
      <w:r>
        <w:rPr>
          <w:rStyle w:val="EndnoteReference"/>
          <w:rFonts w:eastAsiaTheme="majorEastAsia"/>
        </w:rPr>
        <w:footnoteRef/>
      </w:r>
      <w:r>
        <w:t xml:space="preserve"> Stark, JR, </w:t>
      </w:r>
      <w:proofErr w:type="spellStart"/>
      <w:r>
        <w:t>Pernier</w:t>
      </w:r>
      <w:proofErr w:type="spellEnd"/>
      <w:r>
        <w:t xml:space="preserve"> S, et al., “Gleason Score and Lethal Prostate Cancer: Does 3+4 = 4+3?”, J </w:t>
      </w:r>
      <w:proofErr w:type="spellStart"/>
      <w:r>
        <w:t>Clin</w:t>
      </w:r>
      <w:proofErr w:type="spellEnd"/>
      <w:r>
        <w:t xml:space="preserve"> </w:t>
      </w:r>
      <w:proofErr w:type="spellStart"/>
      <w:r>
        <w:t>Oncol</w:t>
      </w:r>
      <w:proofErr w:type="spellEnd"/>
      <w:r>
        <w:t>, 2009; 27:3459-3464.</w:t>
      </w:r>
    </w:p>
    <w:p w:rsidR="00DE2F08" w:rsidRDefault="00DE2F08" w:rsidP="00DE2F08">
      <w:pPr>
        <w:pStyle w:val="EndnoteText"/>
      </w:pPr>
    </w:p>
    <w:p w:rsidR="00DE2F08" w:rsidRDefault="00DE2F08" w:rsidP="00DE2F08">
      <w:pPr>
        <w:pStyle w:val="EndnoteText"/>
        <w:rPr>
          <w:lang w:val="en-US"/>
        </w:rPr>
      </w:pPr>
      <w:r>
        <w:rPr>
          <w:rStyle w:val="EndnoteReference"/>
          <w:rFonts w:eastAsiaTheme="majorEastAsia"/>
        </w:rPr>
        <w:footnoteRef/>
      </w:r>
      <w:r>
        <w:t xml:space="preserve"> </w:t>
      </w:r>
      <w:r>
        <w:rPr>
          <w:lang w:val="en-US"/>
        </w:rPr>
        <w:t>Dickinson SI, “Premalignant Prostate Lesions: Pathologic Review”, Cancer Control, 2010; 17:214-222.</w:t>
      </w:r>
    </w:p>
    <w:p w:rsidR="00DE2F08" w:rsidRPr="00B35D6D" w:rsidRDefault="00DE2F08" w:rsidP="00DE2F08">
      <w:pPr>
        <w:pStyle w:val="EndnoteText"/>
        <w:rPr>
          <w:lang w:val="en-US"/>
        </w:rPr>
      </w:pPr>
    </w:p>
    <w:p w:rsidR="00DE2F08" w:rsidRDefault="00DE2F08" w:rsidP="00DE2F08">
      <w:pPr>
        <w:pStyle w:val="EndnoteText"/>
      </w:pPr>
      <w:r>
        <w:rPr>
          <w:rStyle w:val="EndnoteReference"/>
          <w:rFonts w:eastAsiaTheme="majorEastAsia"/>
        </w:rPr>
        <w:footnoteRef/>
      </w:r>
      <w:r>
        <w:t xml:space="preserve"> </w:t>
      </w:r>
      <w:proofErr w:type="spellStart"/>
      <w:r w:rsidRPr="00DB12F5">
        <w:rPr>
          <w:lang w:val="en-US"/>
        </w:rPr>
        <w:t>Buyyounouski</w:t>
      </w:r>
      <w:proofErr w:type="spellEnd"/>
      <w:r w:rsidRPr="00DB12F5">
        <w:rPr>
          <w:lang w:val="en-US"/>
        </w:rPr>
        <w:t xml:space="preserve"> MK, </w:t>
      </w:r>
      <w:proofErr w:type="spellStart"/>
      <w:r w:rsidRPr="00DB12F5">
        <w:rPr>
          <w:lang w:val="en-US"/>
        </w:rPr>
        <w:t>Choyke</w:t>
      </w:r>
      <w:proofErr w:type="spellEnd"/>
      <w:r w:rsidRPr="00DB12F5">
        <w:rPr>
          <w:lang w:val="en-US"/>
        </w:rPr>
        <w:t xml:space="preserve"> PL, </w:t>
      </w:r>
      <w:proofErr w:type="spellStart"/>
      <w:r w:rsidRPr="00DB12F5">
        <w:rPr>
          <w:lang w:val="en-US"/>
        </w:rPr>
        <w:t>M</w:t>
      </w:r>
      <w:r>
        <w:rPr>
          <w:lang w:val="en-US"/>
        </w:rPr>
        <w:t>cKenney</w:t>
      </w:r>
      <w:proofErr w:type="spellEnd"/>
      <w:r>
        <w:rPr>
          <w:lang w:val="en-US"/>
        </w:rPr>
        <w:t xml:space="preserve"> JK</w:t>
      </w:r>
      <w:r w:rsidRPr="00DB12F5">
        <w:rPr>
          <w:lang w:val="en-US"/>
        </w:rPr>
        <w:t xml:space="preserve">, et al. </w:t>
      </w:r>
      <w:r w:rsidRPr="006370C0">
        <w:rPr>
          <w:lang w:val="en-US"/>
        </w:rPr>
        <w:t>Prostate Cancer – Major Changes in the American Joint</w:t>
      </w:r>
      <w:r>
        <w:rPr>
          <w:lang w:val="en-US"/>
        </w:rPr>
        <w:t xml:space="preserve"> </w:t>
      </w:r>
      <w:r w:rsidRPr="006370C0">
        <w:rPr>
          <w:lang w:val="en-US"/>
        </w:rPr>
        <w:t>Committee on Cancer Eighth Edition Cancer Staging Manua</w:t>
      </w:r>
      <w:r>
        <w:rPr>
          <w:lang w:val="en-US"/>
        </w:rPr>
        <w:t>l.</w:t>
      </w:r>
      <w:r w:rsidRPr="006370C0">
        <w:t xml:space="preserve"> </w:t>
      </w:r>
      <w:r w:rsidRPr="006370C0">
        <w:rPr>
          <w:lang w:val="en-US"/>
        </w:rPr>
        <w:t xml:space="preserve">CA Cancer J </w:t>
      </w:r>
      <w:proofErr w:type="spellStart"/>
      <w:r w:rsidRPr="006370C0">
        <w:rPr>
          <w:lang w:val="en-US"/>
        </w:rPr>
        <w:t>Clin</w:t>
      </w:r>
      <w:proofErr w:type="spellEnd"/>
      <w:r w:rsidRPr="006370C0">
        <w:rPr>
          <w:lang w:val="en-US"/>
        </w:rPr>
        <w:t>. 2017 May 6</w:t>
      </w:r>
      <w:proofErr w:type="gramStart"/>
      <w:r w:rsidRPr="006370C0">
        <w:rPr>
          <w:lang w:val="en-US"/>
        </w:rPr>
        <w:t>;67</w:t>
      </w:r>
      <w:proofErr w:type="gramEnd"/>
      <w:r w:rsidRPr="006370C0">
        <w:rPr>
          <w:lang w:val="en-US"/>
        </w:rPr>
        <w:t xml:space="preserve">(3):245-253. </w:t>
      </w:r>
    </w:p>
    <w:p w:rsidR="00DE2F08" w:rsidRDefault="00DE2F08" w:rsidP="00DE2F08">
      <w:pPr>
        <w:pStyle w:val="EndnoteText"/>
      </w:pPr>
    </w:p>
    <w:p w:rsidR="00DE2F08" w:rsidRDefault="00DE2F08" w:rsidP="00DE2F08">
      <w:pPr>
        <w:pStyle w:val="EndnoteText"/>
      </w:pPr>
      <w:r>
        <w:rPr>
          <w:rStyle w:val="EndnoteReference"/>
          <w:rFonts w:eastAsiaTheme="majorEastAsia"/>
        </w:rPr>
        <w:footnoteRef/>
      </w:r>
      <w:r>
        <w:t xml:space="preserve"> </w:t>
      </w:r>
      <w:proofErr w:type="spellStart"/>
      <w:r w:rsidRPr="00164DFC">
        <w:t>Salmasi</w:t>
      </w:r>
      <w:proofErr w:type="spellEnd"/>
      <w:r w:rsidRPr="00164DFC">
        <w:t xml:space="preserve"> A, Said J, </w:t>
      </w:r>
      <w:proofErr w:type="spellStart"/>
      <w:r w:rsidRPr="00164DFC">
        <w:t>Shindel</w:t>
      </w:r>
      <w:proofErr w:type="spellEnd"/>
      <w:r w:rsidRPr="00164DFC">
        <w:t xml:space="preserve"> AW, et al. A 17-Gene Genomic Prostate Score Assay Provides Independent Information on Adverse Pathology in the Setting of Combined </w:t>
      </w:r>
      <w:proofErr w:type="spellStart"/>
      <w:r w:rsidRPr="00164DFC">
        <w:t>Multiparametric</w:t>
      </w:r>
      <w:proofErr w:type="spellEnd"/>
      <w:r w:rsidRPr="00164DFC">
        <w:t xml:space="preserve"> Magnetic Resonance Imaging Fusion Targeted and Systematic Prostate Biopsy. J </w:t>
      </w:r>
      <w:proofErr w:type="spellStart"/>
      <w:r w:rsidRPr="00164DFC">
        <w:t>Urol</w:t>
      </w:r>
      <w:proofErr w:type="spellEnd"/>
      <w:r w:rsidRPr="00164DFC">
        <w:t xml:space="preserve"> 2018; 200:564.</w:t>
      </w:r>
    </w:p>
    <w:p w:rsidR="00DE2F08" w:rsidRDefault="00DE2F08" w:rsidP="00DE2F08">
      <w:pPr>
        <w:pStyle w:val="EndnoteText"/>
      </w:pPr>
    </w:p>
    <w:p w:rsidR="00DE2F08" w:rsidRDefault="00DE2F08" w:rsidP="00DE2F08">
      <w:pPr>
        <w:pStyle w:val="EndnoteText"/>
      </w:pPr>
    </w:p>
    <w:p w:rsidR="00DE2F08" w:rsidRDefault="00DE2F08" w:rsidP="00DE2F08">
      <w:pPr>
        <w:pStyle w:val="EndnoteText"/>
      </w:pPr>
      <w:r>
        <w:rPr>
          <w:rStyle w:val="EndnoteReference"/>
          <w:rFonts w:eastAsiaTheme="majorEastAsia"/>
        </w:rPr>
        <w:lastRenderedPageBreak/>
        <w:footnoteRef/>
      </w:r>
      <w:r>
        <w:t xml:space="preserve"> </w:t>
      </w:r>
      <w:proofErr w:type="spellStart"/>
      <w:r w:rsidRPr="00614CDA">
        <w:t>Bekelman</w:t>
      </w:r>
      <w:proofErr w:type="spellEnd"/>
      <w:r w:rsidRPr="00614CDA">
        <w:t xml:space="preserve"> JE, Rumble RB, Chen RC, et al. Clinically Localized Prostate Cancer: ASCO Clinical Practice Guideline Endorsement of an American Urological Association/American Society for Radiation Oncology/Society of Urologic Oncology Guideline. J </w:t>
      </w:r>
      <w:proofErr w:type="spellStart"/>
      <w:r w:rsidRPr="00614CDA">
        <w:t>Clin</w:t>
      </w:r>
      <w:proofErr w:type="spellEnd"/>
      <w:r w:rsidRPr="00614CDA">
        <w:t xml:space="preserve"> </w:t>
      </w:r>
      <w:proofErr w:type="spellStart"/>
      <w:r w:rsidRPr="00614CDA">
        <w:t>Oncol</w:t>
      </w:r>
      <w:proofErr w:type="spellEnd"/>
      <w:r w:rsidRPr="00614CDA">
        <w:t xml:space="preserve"> 2018; :JCO1800606.</w:t>
      </w:r>
    </w:p>
    <w:p w:rsidR="00DE2F08" w:rsidRDefault="00DE2F08" w:rsidP="00DE2F08">
      <w:pPr>
        <w:pStyle w:val="EndnoteText"/>
      </w:pPr>
      <w:r>
        <w:rPr>
          <w:rStyle w:val="EndnoteReference"/>
          <w:rFonts w:eastAsiaTheme="majorEastAsia"/>
        </w:rPr>
        <w:footnoteRef/>
      </w:r>
      <w:r>
        <w:t xml:space="preserve"> D’Amico AV, Crook JC, et al., “Radiation Therapy for Prostate Cancer” in Wein AJ </w:t>
      </w:r>
      <w:proofErr w:type="spellStart"/>
      <w:r>
        <w:t>ed</w:t>
      </w:r>
      <w:proofErr w:type="spellEnd"/>
      <w:r>
        <w:t xml:space="preserve"> in chief Campbell-Walsh Urology, 9</w:t>
      </w:r>
      <w:r w:rsidRPr="0073068D">
        <w:rPr>
          <w:vertAlign w:val="superscript"/>
        </w:rPr>
        <w:t>th</w:t>
      </w:r>
      <w:r>
        <w:t xml:space="preserve"> ed., 2007, Philadelphia, Saunders-Elsevier</w:t>
      </w:r>
      <w:r>
        <w:rPr>
          <w:lang w:val="en-US"/>
        </w:rPr>
        <w:t>.</w:t>
      </w:r>
      <w:r>
        <w:t xml:space="preserve"> </w:t>
      </w:r>
    </w:p>
    <w:p w:rsidR="00DE2F08" w:rsidRDefault="00DE2F08" w:rsidP="00DE2F08">
      <w:pPr>
        <w:pStyle w:val="EndnoteText"/>
      </w:pPr>
    </w:p>
    <w:p w:rsidR="00DE2F08" w:rsidRDefault="00DE2F08" w:rsidP="00DE2F08">
      <w:pPr>
        <w:pStyle w:val="EndnoteText"/>
      </w:pPr>
      <w:r>
        <w:rPr>
          <w:rStyle w:val="EndnoteReference"/>
          <w:rFonts w:eastAsiaTheme="majorEastAsia"/>
        </w:rPr>
        <w:footnoteRef/>
      </w:r>
      <w:r>
        <w:t xml:space="preserve"> Stephenson AJ, </w:t>
      </w:r>
      <w:proofErr w:type="spellStart"/>
      <w:r>
        <w:t>Shariat</w:t>
      </w:r>
      <w:proofErr w:type="spellEnd"/>
      <w:r>
        <w:t xml:space="preserve"> SF, et al., “Salvage Radiotherapy for Recurrent Prostate Cancer After Radical Prostatectomy”, JAMA, 2004; 291:1325-32.</w:t>
      </w:r>
    </w:p>
    <w:p w:rsidR="00DE2F08" w:rsidRDefault="00DE2F08" w:rsidP="00DE2F08">
      <w:pPr>
        <w:pStyle w:val="EndnoteText"/>
      </w:pPr>
    </w:p>
    <w:p w:rsidR="00DE2F08" w:rsidRDefault="00DE2F08" w:rsidP="00DE2F08">
      <w:pPr>
        <w:pStyle w:val="EndnoteText"/>
      </w:pPr>
      <w:r>
        <w:rPr>
          <w:rStyle w:val="EndnoteReference"/>
          <w:rFonts w:eastAsiaTheme="majorEastAsia"/>
        </w:rPr>
        <w:footnoteRef/>
      </w:r>
      <w:r>
        <w:t xml:space="preserve"> </w:t>
      </w:r>
      <w:proofErr w:type="spellStart"/>
      <w:r>
        <w:t>Laufer</w:t>
      </w:r>
      <w:proofErr w:type="spellEnd"/>
      <w:r>
        <w:t xml:space="preserve"> M, Pound M, Carducci MA, </w:t>
      </w:r>
      <w:proofErr w:type="spellStart"/>
      <w:r>
        <w:t>Eisenberger</w:t>
      </w:r>
      <w:proofErr w:type="spellEnd"/>
      <w:r>
        <w:t xml:space="preserve"> M, “Management of Patients with Rising Prostate-Specific Antigen After Radical Prostatectomy”, Urology, 2000; 55:309-15.</w:t>
      </w:r>
    </w:p>
    <w:p w:rsidR="00DE2F08" w:rsidRDefault="00DE2F08" w:rsidP="00DE2F08">
      <w:pPr>
        <w:pStyle w:val="EndnoteText"/>
      </w:pPr>
    </w:p>
    <w:p w:rsidR="00DE2F08" w:rsidRDefault="00DE2F08" w:rsidP="00DE2F08">
      <w:pPr>
        <w:pStyle w:val="EndnoteText"/>
      </w:pPr>
      <w:r>
        <w:rPr>
          <w:rStyle w:val="EndnoteReference"/>
          <w:rFonts w:eastAsiaTheme="majorEastAsia"/>
        </w:rPr>
        <w:footnoteRef/>
      </w:r>
      <w:r>
        <w:t xml:space="preserve"> Freedland SJ, Humphreys EB, et al., “Risk of Prostate-Cancer Specific Mortality Following Biochemical Recurrence After Radical Prostatectomy”, JAMA, 2005; 294:433-9.</w:t>
      </w:r>
    </w:p>
    <w:p w:rsidR="00DE2F08" w:rsidRDefault="00DE2F08" w:rsidP="00DE2F08">
      <w:pPr>
        <w:pStyle w:val="EndnoteText"/>
      </w:pPr>
    </w:p>
    <w:p w:rsidR="00DE2F08" w:rsidRDefault="00DE2F08" w:rsidP="00DE2F08">
      <w:pPr>
        <w:pStyle w:val="EndnoteText"/>
      </w:pPr>
      <w:r>
        <w:rPr>
          <w:rStyle w:val="EndnoteReference"/>
          <w:rFonts w:eastAsiaTheme="majorEastAsia"/>
        </w:rPr>
        <w:footnoteRef/>
      </w:r>
      <w:r>
        <w:t xml:space="preserve"> </w:t>
      </w:r>
      <w:proofErr w:type="spellStart"/>
      <w:r>
        <w:t>Trock</w:t>
      </w:r>
      <w:proofErr w:type="spellEnd"/>
      <w:r>
        <w:t xml:space="preserve"> BJ, Han M, et al., “Prostate Cancer-Specific Survival Following Salvage Radiotherapy vs. Observation in Men with Biochemical Recurrence after Radical Prostatectomy”, JAMA, 2008; 299:2760-2769.</w:t>
      </w:r>
    </w:p>
    <w:p w:rsidR="00DE2F08" w:rsidRDefault="00DE2F08" w:rsidP="00DE2F08">
      <w:pPr>
        <w:pStyle w:val="EndnoteText"/>
      </w:pPr>
    </w:p>
    <w:p w:rsidR="00DE2F08" w:rsidRDefault="00DE2F08" w:rsidP="00DE2F08">
      <w:pPr>
        <w:pStyle w:val="EndnoteText"/>
      </w:pPr>
      <w:r>
        <w:rPr>
          <w:rStyle w:val="EndnoteReference"/>
          <w:rFonts w:eastAsiaTheme="majorEastAsia"/>
        </w:rPr>
        <w:footnoteRef/>
      </w:r>
      <w:r>
        <w:t xml:space="preserve"> Simmons MN, Stephenson AJ, </w:t>
      </w:r>
      <w:proofErr w:type="spellStart"/>
      <w:r>
        <w:t>Llein</w:t>
      </w:r>
      <w:proofErr w:type="spellEnd"/>
      <w:r>
        <w:t xml:space="preserve"> EA, “Natural History of Biochemical Recurrence after Radical Prostatectomy: Risk Assessment for Secondary Therapy”, </w:t>
      </w:r>
      <w:proofErr w:type="spellStart"/>
      <w:r>
        <w:t>Eur</w:t>
      </w:r>
      <w:proofErr w:type="spellEnd"/>
      <w:r>
        <w:t xml:space="preserve"> Urology, 2007; 51:1175-84.</w:t>
      </w:r>
    </w:p>
    <w:p w:rsidR="00DE2F08" w:rsidRDefault="00DE2F08" w:rsidP="00DE2F08">
      <w:pPr>
        <w:pStyle w:val="EndnoteText"/>
      </w:pPr>
    </w:p>
    <w:p w:rsidR="00DE2F08" w:rsidRDefault="00DE2F08" w:rsidP="00DE2F08">
      <w:pPr>
        <w:pStyle w:val="EndnoteText"/>
      </w:pPr>
      <w:r>
        <w:rPr>
          <w:rStyle w:val="EndnoteReference"/>
          <w:rFonts w:eastAsiaTheme="majorEastAsia"/>
        </w:rPr>
        <w:footnoteRef/>
      </w:r>
      <w:r>
        <w:t xml:space="preserve"> </w:t>
      </w:r>
      <w:proofErr w:type="spellStart"/>
      <w:r>
        <w:t>Pazona</w:t>
      </w:r>
      <w:proofErr w:type="spellEnd"/>
      <w:r>
        <w:t xml:space="preserve"> JF, Han M, et al., “Salvage Radiation Therapy for Prostate Specific Antigen Progression Following Radical Prostatectomy: 10-Year Outcome Estimates”, J </w:t>
      </w:r>
      <w:proofErr w:type="spellStart"/>
      <w:r>
        <w:t>Urol</w:t>
      </w:r>
      <w:proofErr w:type="spellEnd"/>
      <w:r>
        <w:t>, 2005; 174:1282-1286.</w:t>
      </w:r>
    </w:p>
    <w:p w:rsidR="00DE2F08" w:rsidRDefault="00DE2F08" w:rsidP="00DE2F08">
      <w:pPr>
        <w:pStyle w:val="EndnoteText"/>
      </w:pPr>
    </w:p>
    <w:p w:rsidR="00DE2F08" w:rsidRDefault="00DE2F08" w:rsidP="00DE2F08">
      <w:pPr>
        <w:pStyle w:val="EndnoteText"/>
      </w:pPr>
      <w:r>
        <w:rPr>
          <w:rStyle w:val="EndnoteReference"/>
          <w:rFonts w:eastAsiaTheme="majorEastAsia"/>
        </w:rPr>
        <w:footnoteRef/>
      </w:r>
      <w:r>
        <w:t xml:space="preserve"> </w:t>
      </w:r>
      <w:proofErr w:type="spellStart"/>
      <w:r>
        <w:t>Sharifi</w:t>
      </w:r>
      <w:proofErr w:type="spellEnd"/>
      <w:r>
        <w:t xml:space="preserve"> N, Gulley JL, </w:t>
      </w:r>
      <w:proofErr w:type="spellStart"/>
      <w:r>
        <w:t>Dahut</w:t>
      </w:r>
      <w:proofErr w:type="spellEnd"/>
      <w:r>
        <w:t xml:space="preserve"> WL, “Androgen Deprivation Therapy for Prostate Cancer”, JAMA, 2005; 294:238-44.</w:t>
      </w:r>
    </w:p>
    <w:p w:rsidR="00DE2F08" w:rsidRDefault="00DE2F08" w:rsidP="00DE2F08">
      <w:pPr>
        <w:pStyle w:val="EndnoteText"/>
      </w:pPr>
    </w:p>
    <w:p w:rsidR="00DE2F08" w:rsidRDefault="00DE2F08" w:rsidP="00DE2F08">
      <w:pPr>
        <w:pStyle w:val="EndnoteText"/>
      </w:pPr>
      <w:r>
        <w:rPr>
          <w:rStyle w:val="EndnoteReference"/>
          <w:rFonts w:eastAsiaTheme="majorEastAsia"/>
        </w:rPr>
        <w:footnoteRef/>
      </w:r>
      <w:r>
        <w:t xml:space="preserve"> </w:t>
      </w:r>
      <w:proofErr w:type="spellStart"/>
      <w:r>
        <w:t>Pienta</w:t>
      </w:r>
      <w:proofErr w:type="spellEnd"/>
      <w:r>
        <w:t xml:space="preserve"> KJ, Smith DC, “Advances in Prostate Cancer Chemotherapy: A New Era Begins”, CA Cancer J </w:t>
      </w:r>
      <w:proofErr w:type="spellStart"/>
      <w:r>
        <w:t>Clin</w:t>
      </w:r>
      <w:proofErr w:type="spellEnd"/>
      <w:r>
        <w:t>, 2005; 55:300-18.</w:t>
      </w:r>
    </w:p>
    <w:p w:rsidR="00DE2F08" w:rsidRDefault="00DE2F08" w:rsidP="00DE2F08">
      <w:pPr>
        <w:pStyle w:val="EndnoteText"/>
      </w:pPr>
    </w:p>
    <w:p w:rsidR="00DE2F08" w:rsidRPr="00E5047A" w:rsidRDefault="00DE2F08" w:rsidP="00DE2F08">
      <w:pPr>
        <w:pStyle w:val="EndnoteText"/>
        <w:rPr>
          <w:lang w:val="en-US"/>
        </w:rPr>
      </w:pPr>
      <w:r>
        <w:rPr>
          <w:rStyle w:val="EndnoteReference"/>
          <w:rFonts w:eastAsiaTheme="majorEastAsia"/>
        </w:rPr>
        <w:footnoteRef/>
      </w:r>
      <w:r>
        <w:t xml:space="preserve"> Lam JS, Pisters LL, </w:t>
      </w:r>
      <w:proofErr w:type="spellStart"/>
      <w:r>
        <w:t>Belldegrun</w:t>
      </w:r>
      <w:proofErr w:type="spellEnd"/>
      <w:r>
        <w:t xml:space="preserve"> AS, “Cryotherapy for Prostate Cancer” in Wein AJ </w:t>
      </w:r>
      <w:proofErr w:type="spellStart"/>
      <w:r>
        <w:t>ed</w:t>
      </w:r>
      <w:proofErr w:type="spellEnd"/>
      <w:r>
        <w:t xml:space="preserve"> in chief Campbell-Walsh Urology, 9</w:t>
      </w:r>
      <w:r w:rsidRPr="0073068D">
        <w:rPr>
          <w:vertAlign w:val="superscript"/>
        </w:rPr>
        <w:t>th</w:t>
      </w:r>
      <w:r>
        <w:t xml:space="preserve"> ed., 2007, Philadelphia, Saunders-Elsevier</w:t>
      </w:r>
      <w:r>
        <w:rPr>
          <w:lang w:val="en-US"/>
        </w:rPr>
        <w:t>.</w:t>
      </w:r>
    </w:p>
    <w:p w:rsidR="00DE2F08" w:rsidRDefault="00DE2F08" w:rsidP="00DE2F08">
      <w:pPr>
        <w:pStyle w:val="EndnoteText"/>
      </w:pPr>
    </w:p>
    <w:p w:rsidR="00DE2F08" w:rsidRPr="00591951" w:rsidRDefault="00DE2F08" w:rsidP="00DE2F08">
      <w:pPr>
        <w:pStyle w:val="EndnoteText"/>
      </w:pPr>
      <w:r w:rsidRPr="00591951">
        <w:rPr>
          <w:rStyle w:val="EndnoteReference"/>
          <w:rFonts w:eastAsiaTheme="majorEastAsia"/>
        </w:rPr>
        <w:footnoteRef/>
      </w:r>
      <w:r w:rsidRPr="00591951">
        <w:t xml:space="preserve"> Surveillance, Epidemiology, and End Results (SEER) Program Public-Use Data (1973-1999). National Cancer Institute, DCCPS, Surveillance Research Program. Cancer Statistics Branch. Released April 2009. Based on March 2007 Submission.</w:t>
      </w:r>
    </w:p>
    <w:p w:rsidR="00DE2F08" w:rsidRDefault="00DE2F08" w:rsidP="00DE2F08">
      <w:pPr>
        <w:pStyle w:val="EndnoteText"/>
      </w:pPr>
    </w:p>
    <w:p w:rsidR="00DE2F08" w:rsidRDefault="00DE2F08" w:rsidP="00DE2F08">
      <w:pPr>
        <w:pStyle w:val="EndnoteText"/>
      </w:pPr>
      <w:r>
        <w:rPr>
          <w:rStyle w:val="EndnoteReference"/>
          <w:rFonts w:eastAsiaTheme="majorEastAsia"/>
        </w:rPr>
        <w:footnoteRef/>
      </w:r>
      <w:proofErr w:type="spellStart"/>
      <w:r>
        <w:t>Tewari</w:t>
      </w:r>
      <w:proofErr w:type="spellEnd"/>
      <w:r>
        <w:t xml:space="preserve"> A Raman JD, et al., “Long-Term Survival Probability in Men with Clinically Localized Prostate Cancer Treated Either Conservatively or with Definitive Treatment (Radiotherapy or Radical Prostatectomy)”, Urology, 2006; 68:1268-74.</w:t>
      </w:r>
    </w:p>
    <w:p w:rsidR="00DE2F08" w:rsidRDefault="00DE2F08" w:rsidP="00DE2F08">
      <w:pPr>
        <w:rPr>
          <w:sz w:val="20"/>
          <w:szCs w:val="20"/>
        </w:rPr>
      </w:pPr>
    </w:p>
    <w:p w:rsidR="00DE2F08" w:rsidRDefault="00DE2F08" w:rsidP="00DE2F08">
      <w:pPr>
        <w:pStyle w:val="EndnoteText"/>
      </w:pPr>
      <w:r>
        <w:rPr>
          <w:vertAlign w:val="superscript"/>
          <w:lang w:val="en-US"/>
        </w:rPr>
        <w:t xml:space="preserve">43 </w:t>
      </w:r>
      <w:proofErr w:type="spellStart"/>
      <w:r w:rsidRPr="0049765F">
        <w:t>Uchio</w:t>
      </w:r>
      <w:proofErr w:type="spellEnd"/>
      <w:r w:rsidRPr="0049765F">
        <w:t xml:space="preserve"> EM, Aslan M et al., “Impact of Biochemical Recurrence in Prostate Cancer </w:t>
      </w:r>
      <w:proofErr w:type="gramStart"/>
      <w:r w:rsidRPr="0049765F">
        <w:t>Among</w:t>
      </w:r>
      <w:proofErr w:type="gramEnd"/>
      <w:r w:rsidRPr="0049765F">
        <w:t xml:space="preserve"> US Veterans”, Arch Intern Med, 2010; 170:1390-1395.</w:t>
      </w:r>
    </w:p>
    <w:p w:rsidR="00DE2F08" w:rsidRDefault="00DE2F08" w:rsidP="00DE2F08">
      <w:pPr>
        <w:pStyle w:val="EndnoteText"/>
      </w:pPr>
      <w:r>
        <w:t xml:space="preserve"> </w:t>
      </w:r>
    </w:p>
    <w:p w:rsidR="00DE2F08" w:rsidRDefault="00DE2F08" w:rsidP="00DE2F08">
      <w:pPr>
        <w:pStyle w:val="EndnoteText"/>
      </w:pPr>
      <w:r>
        <w:rPr>
          <w:vertAlign w:val="superscript"/>
          <w:lang w:val="en-US"/>
        </w:rPr>
        <w:t xml:space="preserve">44 </w:t>
      </w:r>
      <w:r w:rsidRPr="0049765F">
        <w:t>Porter C, Kodama K, et al., “25-Year Prostate Cancer Control and Survival Outcomes: A 40 Year Radical Prostatectomy Single Institution Series”, J Urology, 2006; 176:569-574.</w:t>
      </w:r>
    </w:p>
    <w:p w:rsidR="00DE2F08" w:rsidRDefault="00DE2F08" w:rsidP="00DE2F08">
      <w:pPr>
        <w:pStyle w:val="EndnoteText"/>
      </w:pPr>
    </w:p>
    <w:p w:rsidR="00DE2F08" w:rsidRDefault="00DE2F08" w:rsidP="00DE2F08">
      <w:pPr>
        <w:pStyle w:val="EndnoteText"/>
      </w:pPr>
      <w:r>
        <w:rPr>
          <w:vertAlign w:val="superscript"/>
          <w:lang w:val="en-US"/>
        </w:rPr>
        <w:t xml:space="preserve">45 </w:t>
      </w:r>
      <w:r>
        <w:rPr>
          <w:lang w:val="en-US"/>
        </w:rPr>
        <w:t>K</w:t>
      </w:r>
      <w:proofErr w:type="spellStart"/>
      <w:r>
        <w:t>lotz</w:t>
      </w:r>
      <w:proofErr w:type="spellEnd"/>
      <w:r>
        <w:t xml:space="preserve"> L, </w:t>
      </w:r>
      <w:proofErr w:type="spellStart"/>
      <w:r>
        <w:t>Vesprini</w:t>
      </w:r>
      <w:proofErr w:type="spellEnd"/>
      <w:r>
        <w:t xml:space="preserve"> D, </w:t>
      </w:r>
      <w:proofErr w:type="spellStart"/>
      <w:r>
        <w:t>Sethukavalan</w:t>
      </w:r>
      <w:proofErr w:type="spellEnd"/>
      <w:r>
        <w:t xml:space="preserve"> P, et al. Long-term follow-up of a large active surveillance cohort of patients with prostate cancer. J </w:t>
      </w:r>
      <w:proofErr w:type="spellStart"/>
      <w:r>
        <w:t>Clin</w:t>
      </w:r>
      <w:proofErr w:type="spellEnd"/>
      <w:r>
        <w:t xml:space="preserve"> </w:t>
      </w:r>
      <w:proofErr w:type="spellStart"/>
      <w:r>
        <w:t>Oncol</w:t>
      </w:r>
      <w:proofErr w:type="spellEnd"/>
      <w:r>
        <w:t xml:space="preserve"> 2015; 33:272.</w:t>
      </w:r>
    </w:p>
    <w:p w:rsidR="00DE2F08" w:rsidRDefault="00DE2F08" w:rsidP="00DE2F08">
      <w:pPr>
        <w:pStyle w:val="EndnoteText"/>
      </w:pPr>
    </w:p>
    <w:p w:rsidR="00DE2F08" w:rsidRDefault="00DE2F08" w:rsidP="00DE2F08">
      <w:pPr>
        <w:pStyle w:val="EndnoteText"/>
      </w:pPr>
      <w:r w:rsidRPr="00BB3BCF">
        <w:rPr>
          <w:vertAlign w:val="superscript"/>
          <w:lang w:val="de-DE"/>
        </w:rPr>
        <w:t>4</w:t>
      </w:r>
      <w:r>
        <w:rPr>
          <w:vertAlign w:val="superscript"/>
          <w:lang w:val="de-DE"/>
        </w:rPr>
        <w:t>6</w:t>
      </w:r>
      <w:r w:rsidRPr="00BB3BCF">
        <w:rPr>
          <w:vertAlign w:val="superscript"/>
          <w:lang w:val="de-DE"/>
        </w:rPr>
        <w:t xml:space="preserve"> </w:t>
      </w:r>
      <w:proofErr w:type="spellStart"/>
      <w:r>
        <w:t>Tosoian</w:t>
      </w:r>
      <w:proofErr w:type="spellEnd"/>
      <w:r>
        <w:t xml:space="preserve"> JJ, </w:t>
      </w:r>
      <w:proofErr w:type="spellStart"/>
      <w:r>
        <w:t>Mamawala</w:t>
      </w:r>
      <w:proofErr w:type="spellEnd"/>
      <w:r>
        <w:t xml:space="preserve"> M, Epstein JI, et al. Intermediate and Longer-Term Outcomes From a Prospective Active-Surveillance Program for Favorable-Risk Prostate Cancer. J </w:t>
      </w:r>
      <w:proofErr w:type="spellStart"/>
      <w:r>
        <w:t>Clin</w:t>
      </w:r>
      <w:proofErr w:type="spellEnd"/>
      <w:r>
        <w:t xml:space="preserve"> </w:t>
      </w:r>
      <w:proofErr w:type="spellStart"/>
      <w:r>
        <w:t>Oncol</w:t>
      </w:r>
      <w:proofErr w:type="spellEnd"/>
      <w:r>
        <w:t xml:space="preserve"> 2015; 33:3379.</w:t>
      </w:r>
    </w:p>
    <w:p w:rsidR="00DE2F08" w:rsidRDefault="00DE2F08" w:rsidP="00DE2F08">
      <w:pPr>
        <w:pStyle w:val="EndnoteText"/>
      </w:pPr>
    </w:p>
    <w:p w:rsidR="00DE2F08" w:rsidRDefault="00DE2F08" w:rsidP="00DE2F08">
      <w:pPr>
        <w:pStyle w:val="EndnoteText"/>
      </w:pPr>
    </w:p>
    <w:p w:rsidR="00DE2F08" w:rsidRDefault="00DE2F08" w:rsidP="00DE2F08">
      <w:pPr>
        <w:pStyle w:val="EndnoteText"/>
      </w:pPr>
    </w:p>
    <w:p w:rsidR="00DE2F08" w:rsidRDefault="00DE2F08" w:rsidP="00DE2F08">
      <w:pPr>
        <w:pStyle w:val="EndnoteText"/>
      </w:pPr>
      <w:r>
        <w:rPr>
          <w:rStyle w:val="EndnoteReference"/>
          <w:rFonts w:eastAsiaTheme="majorEastAsia"/>
          <w:lang w:val="en-US"/>
        </w:rPr>
        <w:t>4</w:t>
      </w:r>
      <w:r w:rsidRPr="00BB3BCF">
        <w:rPr>
          <w:vertAlign w:val="superscript"/>
          <w:lang w:val="en-US"/>
        </w:rPr>
        <w:t>8</w:t>
      </w:r>
      <w:r>
        <w:t xml:space="preserve"> </w:t>
      </w:r>
      <w:proofErr w:type="spellStart"/>
      <w:r>
        <w:t>Meng</w:t>
      </w:r>
      <w:proofErr w:type="spellEnd"/>
      <w:r>
        <w:t xml:space="preserve"> MV, Carroll PR, “Treatment of Locally Advanced Prostate Cancer” in Wein AJ </w:t>
      </w:r>
      <w:proofErr w:type="spellStart"/>
      <w:r>
        <w:t>ed</w:t>
      </w:r>
      <w:proofErr w:type="spellEnd"/>
      <w:r>
        <w:t xml:space="preserve"> in chief Campbell-Walsh Urology, 9</w:t>
      </w:r>
      <w:r w:rsidRPr="0073068D">
        <w:rPr>
          <w:vertAlign w:val="superscript"/>
        </w:rPr>
        <w:t>th</w:t>
      </w:r>
      <w:r>
        <w:t xml:space="preserve"> ed., 2007, Philadelphia, Saunders-Elsevier.</w:t>
      </w:r>
    </w:p>
    <w:p w:rsidR="00DE2F08" w:rsidRDefault="00DE2F08" w:rsidP="00DE2F08">
      <w:pPr>
        <w:pStyle w:val="EndnoteText"/>
      </w:pPr>
    </w:p>
    <w:p w:rsidR="00DE2F08" w:rsidRDefault="00DE2F08" w:rsidP="00DE2F08">
      <w:pPr>
        <w:pStyle w:val="EndnoteText"/>
      </w:pPr>
      <w:r>
        <w:rPr>
          <w:rStyle w:val="EndnoteReference"/>
          <w:rFonts w:eastAsiaTheme="majorEastAsia"/>
        </w:rPr>
        <w:lastRenderedPageBreak/>
        <w:footnoteRef/>
      </w:r>
      <w:r>
        <w:t xml:space="preserve"> </w:t>
      </w:r>
    </w:p>
    <w:p w:rsidR="00DE2F08" w:rsidRDefault="00DE2F08" w:rsidP="00DE2F08">
      <w:pPr>
        <w:pStyle w:val="EndnoteText"/>
      </w:pPr>
    </w:p>
    <w:p w:rsidR="00DE2F08" w:rsidRDefault="00DE2F08" w:rsidP="00DE2F08">
      <w:pPr>
        <w:pStyle w:val="EndnoteText"/>
      </w:pPr>
      <w:r>
        <w:rPr>
          <w:rStyle w:val="EndnoteReference"/>
          <w:rFonts w:eastAsiaTheme="majorEastAsia"/>
        </w:rPr>
        <w:footnoteRef/>
      </w:r>
      <w:r>
        <w:t xml:space="preserve"> </w:t>
      </w:r>
      <w:r w:rsidRPr="0049765F">
        <w:t xml:space="preserve">Han M, </w:t>
      </w:r>
      <w:proofErr w:type="spellStart"/>
      <w:r w:rsidRPr="0049765F">
        <w:t>Partin</w:t>
      </w:r>
      <w:proofErr w:type="spellEnd"/>
      <w:r w:rsidRPr="0049765F">
        <w:t xml:space="preserve"> AW, et al., “Long-Term Biochemical Disease Free and Cancer-Specific Survival Following Anatomic Radical </w:t>
      </w:r>
      <w:proofErr w:type="spellStart"/>
      <w:r w:rsidRPr="0049765F">
        <w:t>Retropubic</w:t>
      </w:r>
      <w:proofErr w:type="spellEnd"/>
      <w:r w:rsidRPr="0049765F">
        <w:t xml:space="preserve"> Prostatectomy: The 15-Year Johns Hopkins Experience”, </w:t>
      </w:r>
      <w:proofErr w:type="spellStart"/>
      <w:r w:rsidRPr="0049765F">
        <w:t>Urol</w:t>
      </w:r>
      <w:proofErr w:type="spellEnd"/>
      <w:r w:rsidRPr="0049765F">
        <w:t xml:space="preserve"> </w:t>
      </w:r>
      <w:proofErr w:type="spellStart"/>
      <w:r w:rsidRPr="0049765F">
        <w:t>Clin</w:t>
      </w:r>
      <w:proofErr w:type="spellEnd"/>
      <w:r w:rsidRPr="0049765F">
        <w:t xml:space="preserve"> N Am, 2001; 28:555-65</w:t>
      </w:r>
      <w:r>
        <w:t>.</w:t>
      </w:r>
    </w:p>
    <w:p w:rsidR="00DE2F08" w:rsidRDefault="00DE2F08" w:rsidP="00DE2F08">
      <w:pPr>
        <w:pStyle w:val="EndnoteText"/>
      </w:pPr>
    </w:p>
    <w:p w:rsidR="00DE2F08" w:rsidRDefault="00DE2F08" w:rsidP="00DE2F08">
      <w:pPr>
        <w:pStyle w:val="EndnoteText"/>
      </w:pPr>
      <w:r>
        <w:rPr>
          <w:rStyle w:val="EndnoteReference"/>
          <w:rFonts w:eastAsiaTheme="majorEastAsia"/>
        </w:rPr>
        <w:footnoteRef/>
      </w:r>
      <w:r>
        <w:t xml:space="preserve"> </w:t>
      </w:r>
      <w:proofErr w:type="spellStart"/>
      <w:r w:rsidRPr="009919D5">
        <w:t>Hamdy</w:t>
      </w:r>
      <w:proofErr w:type="spellEnd"/>
      <w:r w:rsidRPr="009919D5">
        <w:t xml:space="preserve"> FC, Donovan JL, Lane JA, et al. 10-Year Outcomes after Monitoring, Surgery, or Radiotherapy for Localized Prostate Cancer. N </w:t>
      </w:r>
      <w:proofErr w:type="spellStart"/>
      <w:r w:rsidRPr="009919D5">
        <w:t>Engl</w:t>
      </w:r>
      <w:proofErr w:type="spellEnd"/>
      <w:r w:rsidRPr="009919D5">
        <w:t xml:space="preserve"> J Med 2016; 375:1415.</w:t>
      </w:r>
    </w:p>
    <w:p w:rsidR="00DE2F08" w:rsidRDefault="00DE2F08" w:rsidP="00DE2F08">
      <w:pPr>
        <w:pStyle w:val="EndnoteText"/>
      </w:pPr>
    </w:p>
    <w:p w:rsidR="00DE2F08" w:rsidRDefault="00DE2F08" w:rsidP="00DE2F08">
      <w:pPr>
        <w:pStyle w:val="EndnoteText"/>
      </w:pPr>
      <w:r>
        <w:rPr>
          <w:rStyle w:val="EndnoteReference"/>
          <w:rFonts w:eastAsiaTheme="majorEastAsia"/>
        </w:rPr>
        <w:footnoteRef/>
      </w:r>
      <w:r>
        <w:t xml:space="preserve"> </w:t>
      </w:r>
      <w:proofErr w:type="spellStart"/>
      <w:r>
        <w:t>Zelefsky</w:t>
      </w:r>
      <w:proofErr w:type="spellEnd"/>
      <w:r>
        <w:t xml:space="preserve"> MJ, Yamada Y, et al., “Long-Term Results of Conformal Radiotherapy for Prostate Cancer: Impact of Dose Escalation on Biochemical Tumor Control and Distant Metastasis Free Survival Outcomes”, </w:t>
      </w:r>
      <w:proofErr w:type="spellStart"/>
      <w:r>
        <w:t>Int</w:t>
      </w:r>
      <w:proofErr w:type="spellEnd"/>
      <w:r>
        <w:t xml:space="preserve"> J Radiation Oncology </w:t>
      </w:r>
      <w:proofErr w:type="spellStart"/>
      <w:r>
        <w:t>Biol</w:t>
      </w:r>
      <w:proofErr w:type="spellEnd"/>
      <w:r>
        <w:t xml:space="preserve"> </w:t>
      </w:r>
      <w:proofErr w:type="spellStart"/>
      <w:r>
        <w:t>Phys</w:t>
      </w:r>
      <w:proofErr w:type="spellEnd"/>
      <w:r>
        <w:t xml:space="preserve">, 2008; 71:1028-1033. </w:t>
      </w:r>
    </w:p>
    <w:p w:rsidR="00DE2F08" w:rsidRDefault="00DE2F08" w:rsidP="00DE2F08">
      <w:pPr>
        <w:pStyle w:val="EndnoteText"/>
      </w:pPr>
    </w:p>
    <w:p w:rsidR="00DE2F08" w:rsidRDefault="00DE2F08" w:rsidP="00DE2F08">
      <w:pPr>
        <w:pStyle w:val="EndnoteText"/>
      </w:pPr>
    </w:p>
    <w:p w:rsidR="00DE2F08" w:rsidRDefault="00DE2F08" w:rsidP="00DE2F08">
      <w:pPr>
        <w:pStyle w:val="EndnoteText"/>
      </w:pPr>
      <w:r>
        <w:rPr>
          <w:rStyle w:val="EndnoteReference"/>
          <w:rFonts w:eastAsiaTheme="majorEastAsia"/>
        </w:rPr>
        <w:footnoteRef/>
      </w:r>
      <w:r>
        <w:t xml:space="preserve"> Swanson GP, Riggs MW, Earle JD, Haddock MG, “Long-Term Follow-up of Radical </w:t>
      </w:r>
      <w:proofErr w:type="spellStart"/>
      <w:r>
        <w:t>Retropubic</w:t>
      </w:r>
      <w:proofErr w:type="spellEnd"/>
      <w:r>
        <w:t xml:space="preserve"> Prostatectomy for Prostate Cancer”, </w:t>
      </w:r>
      <w:proofErr w:type="spellStart"/>
      <w:r>
        <w:t>Eur</w:t>
      </w:r>
      <w:proofErr w:type="spellEnd"/>
      <w:r>
        <w:t xml:space="preserve"> </w:t>
      </w:r>
      <w:proofErr w:type="spellStart"/>
      <w:r>
        <w:t>Urol</w:t>
      </w:r>
      <w:proofErr w:type="spellEnd"/>
      <w:r>
        <w:t>, 2002; 42:212-6.</w:t>
      </w:r>
    </w:p>
    <w:p w:rsidR="00DE2F08" w:rsidRDefault="00DE2F08" w:rsidP="00DE2F08">
      <w:pPr>
        <w:pStyle w:val="EndnoteText"/>
      </w:pPr>
    </w:p>
    <w:p w:rsidR="00DE2F08" w:rsidRDefault="00DE2F08" w:rsidP="00DE2F08">
      <w:pPr>
        <w:pStyle w:val="EndnoteText"/>
      </w:pPr>
      <w:r>
        <w:rPr>
          <w:vertAlign w:val="superscript"/>
          <w:lang w:val="en-US"/>
        </w:rPr>
        <w:t xml:space="preserve">53 </w:t>
      </w:r>
      <w:r w:rsidRPr="00D60ACA">
        <w:t>Khan MA, Han M, et al., “Long-Term Cancer Control of Radical Prostatectomy in Men Younger than 50 Years of Age: Update 2003”, Urology, 2003; 62:86-92.</w:t>
      </w:r>
    </w:p>
    <w:p w:rsidR="00DE2F08" w:rsidRDefault="00DE2F08" w:rsidP="00DE2F08">
      <w:pPr>
        <w:pStyle w:val="EndnoteText"/>
      </w:pPr>
      <w:r w:rsidRPr="00D949F1">
        <w:rPr>
          <w:vertAlign w:val="superscript"/>
          <w:lang w:val="en-US"/>
        </w:rPr>
        <w:t xml:space="preserve">54 </w:t>
      </w:r>
      <w:r w:rsidRPr="00D949F1">
        <w:t>Bill-</w:t>
      </w:r>
      <w:proofErr w:type="spellStart"/>
      <w:r w:rsidRPr="00D949F1">
        <w:t>Axelson</w:t>
      </w:r>
      <w:proofErr w:type="spellEnd"/>
      <w:r w:rsidRPr="00D949F1">
        <w:t xml:space="preserve"> A, Holmberg L, </w:t>
      </w:r>
      <w:proofErr w:type="spellStart"/>
      <w:r w:rsidRPr="00D949F1">
        <w:t>Garmo</w:t>
      </w:r>
      <w:proofErr w:type="spellEnd"/>
      <w:r w:rsidRPr="00D949F1">
        <w:t xml:space="preserve"> H, et al. Radical Prostatectomy or Watchful Waiting in Prostate Cancer - 29-Year Follow-up. N </w:t>
      </w:r>
      <w:proofErr w:type="spellStart"/>
      <w:r w:rsidRPr="00D949F1">
        <w:t>Engl</w:t>
      </w:r>
      <w:proofErr w:type="spellEnd"/>
      <w:r w:rsidRPr="00D949F1">
        <w:t xml:space="preserve"> J Med 2018; 379:2319.</w:t>
      </w:r>
    </w:p>
    <w:p w:rsidR="00DE2F08" w:rsidRDefault="00DE2F08" w:rsidP="00DE2F08">
      <w:pPr>
        <w:pStyle w:val="EndnoteText"/>
      </w:pPr>
    </w:p>
    <w:p w:rsidR="00DE2F08" w:rsidRDefault="00DE2F08" w:rsidP="00DE2F08">
      <w:pPr>
        <w:pStyle w:val="EndnoteText"/>
      </w:pPr>
      <w:r w:rsidRPr="00BB3BCF">
        <w:rPr>
          <w:vertAlign w:val="superscript"/>
          <w:lang w:val="de-DE"/>
        </w:rPr>
        <w:t xml:space="preserve">55 </w:t>
      </w:r>
      <w:proofErr w:type="spellStart"/>
      <w:r w:rsidRPr="0049765F">
        <w:t>Antonarakis</w:t>
      </w:r>
      <w:proofErr w:type="spellEnd"/>
      <w:r w:rsidRPr="0049765F">
        <w:t xml:space="preserve"> ES, Feng Z, </w:t>
      </w:r>
      <w:proofErr w:type="spellStart"/>
      <w:r w:rsidRPr="0049765F">
        <w:t>Trock</w:t>
      </w:r>
      <w:proofErr w:type="spellEnd"/>
      <w:r w:rsidRPr="0049765F">
        <w:t xml:space="preserve"> BJ, et al. The natural history of metastatic progression in men with prostate-specific antigen recurrence after radical prostatectomy: long-term follow-up. BJU </w:t>
      </w:r>
      <w:proofErr w:type="spellStart"/>
      <w:r w:rsidRPr="0049765F">
        <w:t>Int</w:t>
      </w:r>
      <w:proofErr w:type="spellEnd"/>
      <w:r w:rsidRPr="0049765F">
        <w:t xml:space="preserve"> 2012; 109:32.</w:t>
      </w:r>
    </w:p>
    <w:p w:rsidR="00DE2F08" w:rsidRPr="003E0325" w:rsidRDefault="00DE2F08" w:rsidP="006C5965">
      <w:pPr>
        <w:rPr>
          <w:sz w:val="24"/>
          <w:szCs w:val="24"/>
        </w:rPr>
      </w:pPr>
    </w:p>
    <w:sectPr w:rsidR="00DE2F08" w:rsidRPr="003E0325" w:rsidSect="00C2505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28A" w:rsidRDefault="001E728A" w:rsidP="007C3ACB">
      <w:pPr>
        <w:spacing w:line="240" w:lineRule="auto"/>
      </w:pPr>
      <w:r>
        <w:separator/>
      </w:r>
    </w:p>
  </w:endnote>
  <w:endnote w:type="continuationSeparator" w:id="0">
    <w:p w:rsidR="001E728A" w:rsidRDefault="001E728A" w:rsidP="007C3A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28A" w:rsidRDefault="001E728A" w:rsidP="007C3ACB">
      <w:pPr>
        <w:spacing w:line="240" w:lineRule="auto"/>
      </w:pPr>
      <w:r>
        <w:separator/>
      </w:r>
    </w:p>
  </w:footnote>
  <w:footnote w:type="continuationSeparator" w:id="0">
    <w:p w:rsidR="001E728A" w:rsidRDefault="001E728A" w:rsidP="007C3A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5D7" w:rsidRPr="00616BDC" w:rsidRDefault="00D135D7" w:rsidP="00616B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2847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4A65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F3E26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1209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EC55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5221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6813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EA77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BE6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72F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61807"/>
    <w:multiLevelType w:val="multilevel"/>
    <w:tmpl w:val="CBE47F02"/>
    <w:lvl w:ilvl="0">
      <w:start w:val="1"/>
      <w:numFmt w:val="decimal"/>
      <w:pStyle w:val="Numeration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§"/>
      <w:lvlJc w:val="left"/>
      <w:pPr>
        <w:ind w:left="1136" w:hanging="284"/>
      </w:pPr>
      <w:rPr>
        <w:rFonts w:ascii="Wingdings" w:hAnsi="Wingdings" w:hint="default"/>
      </w:rPr>
    </w:lvl>
    <w:lvl w:ilvl="4">
      <w:start w:val="1"/>
      <w:numFmt w:val="bullet"/>
      <w:lvlText w:val="§"/>
      <w:lvlJc w:val="left"/>
      <w:pPr>
        <w:ind w:left="1420" w:hanging="284"/>
      </w:pPr>
      <w:rPr>
        <w:rFonts w:ascii="Wingdings" w:hAnsi="Wingdings" w:hint="default"/>
      </w:rPr>
    </w:lvl>
    <w:lvl w:ilvl="5">
      <w:start w:val="1"/>
      <w:numFmt w:val="bullet"/>
      <w:lvlText w:val="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§"/>
      <w:lvlJc w:val="left"/>
      <w:pPr>
        <w:ind w:left="1988" w:hanging="284"/>
      </w:pPr>
      <w:rPr>
        <w:rFonts w:ascii="Wingdings" w:hAnsi="Wingdings" w:hint="default"/>
      </w:rPr>
    </w:lvl>
    <w:lvl w:ilvl="7">
      <w:start w:val="1"/>
      <w:numFmt w:val="bullet"/>
      <w:lvlText w:val="§"/>
      <w:lvlJc w:val="left"/>
      <w:pPr>
        <w:ind w:left="2272" w:hanging="284"/>
      </w:pPr>
      <w:rPr>
        <w:rFonts w:ascii="Wingdings" w:hAnsi="Wingdings" w:hint="default"/>
      </w:rPr>
    </w:lvl>
    <w:lvl w:ilvl="8">
      <w:start w:val="1"/>
      <w:numFmt w:val="bullet"/>
      <w:lvlText w:val="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1" w15:restartNumberingAfterBreak="0">
    <w:nsid w:val="21A57390"/>
    <w:multiLevelType w:val="multilevel"/>
    <w:tmpl w:val="FB72D6B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Arial" w:hAnsi="Arial" w:hint="default"/>
      </w:rPr>
    </w:lvl>
  </w:abstractNum>
  <w:abstractNum w:abstractNumId="12" w15:restartNumberingAfterBreak="0">
    <w:nsid w:val="46A32CE8"/>
    <w:multiLevelType w:val="multilevel"/>
    <w:tmpl w:val="B75E2082"/>
    <w:lvl w:ilvl="0">
      <w:start w:val="1"/>
      <w:numFmt w:val="decimal"/>
      <w:pStyle w:val="HL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H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L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L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HL5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pStyle w:val="HL6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HL7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pStyle w:val="HL8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HL9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13" w15:restartNumberingAfterBreak="0">
    <w:nsid w:val="6A9F1387"/>
    <w:multiLevelType w:val="multilevel"/>
    <w:tmpl w:val="8F3ED050"/>
    <w:lvl w:ilvl="0">
      <w:start w:val="1"/>
      <w:numFmt w:val="upperRoman"/>
      <w:pStyle w:val="Numerationcontinuous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14" w15:restartNumberingAfterBreak="0">
    <w:nsid w:val="796272A2"/>
    <w:multiLevelType w:val="multilevel"/>
    <w:tmpl w:val="5C3263CE"/>
    <w:lvl w:ilvl="0">
      <w:start w:val="1"/>
      <w:numFmt w:val="bullet"/>
      <w:pStyle w:val="Bullet"/>
      <w:lvlText w:val="•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Arial" w:hAnsi="Arial" w:hint="default"/>
      </w:rPr>
    </w:lvl>
  </w:abstractNum>
  <w:abstractNum w:abstractNumId="15" w15:restartNumberingAfterBreak="0">
    <w:nsid w:val="79B867E3"/>
    <w:multiLevelType w:val="multilevel"/>
    <w:tmpl w:val="23C0E0B8"/>
    <w:lvl w:ilvl="0">
      <w:start w:val="1"/>
      <w:numFmt w:val="upperRoman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2"/>
  </w:num>
  <w:num w:numId="14">
    <w:abstractNumId w:val="13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4"/>
  </w:num>
  <w:num w:numId="18">
    <w:abstractNumId w:val="10"/>
  </w:num>
  <w:num w:numId="19">
    <w:abstractNumId w:val="13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4"/>
  </w:num>
  <w:num w:numId="30">
    <w:abstractNumId w:val="10"/>
  </w:num>
  <w:num w:numId="31">
    <w:abstractNumId w:val="13"/>
  </w:num>
  <w:num w:numId="32">
    <w:abstractNumId w:val="12"/>
  </w:num>
  <w:num w:numId="33">
    <w:abstractNumId w:val="12"/>
  </w:num>
  <w:num w:numId="34">
    <w:abstractNumId w:val="12"/>
  </w:num>
  <w:num w:numId="35">
    <w:abstractNumId w:val="12"/>
  </w:num>
  <w:num w:numId="36">
    <w:abstractNumId w:val="12"/>
  </w:num>
  <w:num w:numId="37">
    <w:abstractNumId w:val="12"/>
  </w:num>
  <w:num w:numId="38">
    <w:abstractNumId w:val="12"/>
  </w:num>
  <w:num w:numId="39">
    <w:abstractNumId w:val="12"/>
  </w:num>
  <w:num w:numId="40">
    <w:abstractNumId w:val="12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1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965"/>
    <w:rsid w:val="00001F1C"/>
    <w:rsid w:val="00015CA9"/>
    <w:rsid w:val="00022565"/>
    <w:rsid w:val="00026190"/>
    <w:rsid w:val="0003173F"/>
    <w:rsid w:val="00060E0E"/>
    <w:rsid w:val="00081D26"/>
    <w:rsid w:val="00086953"/>
    <w:rsid w:val="000B7DBE"/>
    <w:rsid w:val="000D43C6"/>
    <w:rsid w:val="000F0A2F"/>
    <w:rsid w:val="00100285"/>
    <w:rsid w:val="00120EC1"/>
    <w:rsid w:val="0013357E"/>
    <w:rsid w:val="00170B00"/>
    <w:rsid w:val="0018253B"/>
    <w:rsid w:val="00195914"/>
    <w:rsid w:val="001C055C"/>
    <w:rsid w:val="001E0272"/>
    <w:rsid w:val="001E31A9"/>
    <w:rsid w:val="001E728A"/>
    <w:rsid w:val="001E7497"/>
    <w:rsid w:val="00266372"/>
    <w:rsid w:val="002A1D04"/>
    <w:rsid w:val="002B49BA"/>
    <w:rsid w:val="002C48D4"/>
    <w:rsid w:val="002D4771"/>
    <w:rsid w:val="002E3DE1"/>
    <w:rsid w:val="00305455"/>
    <w:rsid w:val="00307346"/>
    <w:rsid w:val="00314DB4"/>
    <w:rsid w:val="00322318"/>
    <w:rsid w:val="0032372D"/>
    <w:rsid w:val="00324770"/>
    <w:rsid w:val="00337F94"/>
    <w:rsid w:val="00353B97"/>
    <w:rsid w:val="003604E9"/>
    <w:rsid w:val="003644EA"/>
    <w:rsid w:val="003A641D"/>
    <w:rsid w:val="003A7C34"/>
    <w:rsid w:val="003B23FB"/>
    <w:rsid w:val="003C081B"/>
    <w:rsid w:val="003C5AEE"/>
    <w:rsid w:val="003E0325"/>
    <w:rsid w:val="003E5E3D"/>
    <w:rsid w:val="00424D60"/>
    <w:rsid w:val="004347DE"/>
    <w:rsid w:val="00442C66"/>
    <w:rsid w:val="00445DAD"/>
    <w:rsid w:val="004545D4"/>
    <w:rsid w:val="004650DB"/>
    <w:rsid w:val="004963AB"/>
    <w:rsid w:val="004B20CA"/>
    <w:rsid w:val="004C15A5"/>
    <w:rsid w:val="004C37CE"/>
    <w:rsid w:val="004C7234"/>
    <w:rsid w:val="004E4C8E"/>
    <w:rsid w:val="00506802"/>
    <w:rsid w:val="0052368C"/>
    <w:rsid w:val="00542EE7"/>
    <w:rsid w:val="00543823"/>
    <w:rsid w:val="00543D7D"/>
    <w:rsid w:val="00554EE3"/>
    <w:rsid w:val="00555010"/>
    <w:rsid w:val="00572B76"/>
    <w:rsid w:val="005810F0"/>
    <w:rsid w:val="005A2383"/>
    <w:rsid w:val="005D5B68"/>
    <w:rsid w:val="005F0100"/>
    <w:rsid w:val="005F296D"/>
    <w:rsid w:val="00610F59"/>
    <w:rsid w:val="0061400F"/>
    <w:rsid w:val="00616BDC"/>
    <w:rsid w:val="0064465F"/>
    <w:rsid w:val="00693C72"/>
    <w:rsid w:val="006C082C"/>
    <w:rsid w:val="006C1AC9"/>
    <w:rsid w:val="006C5965"/>
    <w:rsid w:val="006E5CCD"/>
    <w:rsid w:val="006E65B5"/>
    <w:rsid w:val="006E7A47"/>
    <w:rsid w:val="0070060D"/>
    <w:rsid w:val="00712FC9"/>
    <w:rsid w:val="00745A56"/>
    <w:rsid w:val="007909C2"/>
    <w:rsid w:val="007937E1"/>
    <w:rsid w:val="007A26D1"/>
    <w:rsid w:val="007C3ACB"/>
    <w:rsid w:val="007C563A"/>
    <w:rsid w:val="007C7336"/>
    <w:rsid w:val="007F4B3F"/>
    <w:rsid w:val="007F5F23"/>
    <w:rsid w:val="008352E8"/>
    <w:rsid w:val="00852C3E"/>
    <w:rsid w:val="008935D6"/>
    <w:rsid w:val="008B22DE"/>
    <w:rsid w:val="008B64A7"/>
    <w:rsid w:val="008C669A"/>
    <w:rsid w:val="008D0F09"/>
    <w:rsid w:val="008E1C24"/>
    <w:rsid w:val="0094725D"/>
    <w:rsid w:val="009642B8"/>
    <w:rsid w:val="00971C3D"/>
    <w:rsid w:val="00971E9F"/>
    <w:rsid w:val="00990300"/>
    <w:rsid w:val="00990982"/>
    <w:rsid w:val="00997E69"/>
    <w:rsid w:val="009A0C7D"/>
    <w:rsid w:val="009A60CA"/>
    <w:rsid w:val="009B5B34"/>
    <w:rsid w:val="009C7E77"/>
    <w:rsid w:val="009D1F50"/>
    <w:rsid w:val="009D4C25"/>
    <w:rsid w:val="009D7ED2"/>
    <w:rsid w:val="009F4334"/>
    <w:rsid w:val="00A202F9"/>
    <w:rsid w:val="00A24698"/>
    <w:rsid w:val="00A409A4"/>
    <w:rsid w:val="00A50412"/>
    <w:rsid w:val="00A86836"/>
    <w:rsid w:val="00A93789"/>
    <w:rsid w:val="00A94D16"/>
    <w:rsid w:val="00A95C79"/>
    <w:rsid w:val="00AE43FC"/>
    <w:rsid w:val="00B1460C"/>
    <w:rsid w:val="00B174BC"/>
    <w:rsid w:val="00B20E9C"/>
    <w:rsid w:val="00B332DC"/>
    <w:rsid w:val="00B34C19"/>
    <w:rsid w:val="00B41994"/>
    <w:rsid w:val="00B577CE"/>
    <w:rsid w:val="00B6397B"/>
    <w:rsid w:val="00B650BB"/>
    <w:rsid w:val="00B74AB2"/>
    <w:rsid w:val="00BA2EB1"/>
    <w:rsid w:val="00BE2AC4"/>
    <w:rsid w:val="00BF7A67"/>
    <w:rsid w:val="00C06CC1"/>
    <w:rsid w:val="00C2505D"/>
    <w:rsid w:val="00C33646"/>
    <w:rsid w:val="00C70C30"/>
    <w:rsid w:val="00C81DB5"/>
    <w:rsid w:val="00C84ADD"/>
    <w:rsid w:val="00C854E3"/>
    <w:rsid w:val="00C90309"/>
    <w:rsid w:val="00C90E9C"/>
    <w:rsid w:val="00CA0566"/>
    <w:rsid w:val="00CA2401"/>
    <w:rsid w:val="00CA6019"/>
    <w:rsid w:val="00CB036F"/>
    <w:rsid w:val="00CB5E0B"/>
    <w:rsid w:val="00CC4E6C"/>
    <w:rsid w:val="00CD102E"/>
    <w:rsid w:val="00D130E3"/>
    <w:rsid w:val="00D135D7"/>
    <w:rsid w:val="00D16A09"/>
    <w:rsid w:val="00D23B31"/>
    <w:rsid w:val="00D303A9"/>
    <w:rsid w:val="00D32FBF"/>
    <w:rsid w:val="00D41BD0"/>
    <w:rsid w:val="00D77EB3"/>
    <w:rsid w:val="00D922CB"/>
    <w:rsid w:val="00DC1099"/>
    <w:rsid w:val="00DE2F08"/>
    <w:rsid w:val="00E05ACD"/>
    <w:rsid w:val="00E26777"/>
    <w:rsid w:val="00E434CB"/>
    <w:rsid w:val="00E4443C"/>
    <w:rsid w:val="00E50A98"/>
    <w:rsid w:val="00E52171"/>
    <w:rsid w:val="00E616C5"/>
    <w:rsid w:val="00E86F5F"/>
    <w:rsid w:val="00E9743A"/>
    <w:rsid w:val="00EA23C4"/>
    <w:rsid w:val="00EA4EB1"/>
    <w:rsid w:val="00EB0809"/>
    <w:rsid w:val="00EB34A3"/>
    <w:rsid w:val="00EF0953"/>
    <w:rsid w:val="00EF571C"/>
    <w:rsid w:val="00F012D4"/>
    <w:rsid w:val="00F0286D"/>
    <w:rsid w:val="00F16858"/>
    <w:rsid w:val="00F22CE8"/>
    <w:rsid w:val="00F23C3E"/>
    <w:rsid w:val="00F426F0"/>
    <w:rsid w:val="00F57DD2"/>
    <w:rsid w:val="00F65012"/>
    <w:rsid w:val="00F943C4"/>
    <w:rsid w:val="00FB108C"/>
    <w:rsid w:val="00FC2A73"/>
    <w:rsid w:val="00FC6F8B"/>
    <w:rsid w:val="00FD0908"/>
    <w:rsid w:val="00FD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BCE8B"/>
  <w15:chartTrackingRefBased/>
  <w15:docId w15:val="{9E081D18-F166-4F31-95EF-9FD885205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F59"/>
    <w:pPr>
      <w:spacing w:after="0" w:line="264" w:lineRule="auto"/>
    </w:pPr>
    <w:rPr>
      <w:rFonts w:ascii="Arial" w:hAnsi="Arial" w:cs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7DD2"/>
    <w:pPr>
      <w:numPr>
        <w:numId w:val="41"/>
      </w:numPr>
      <w:tabs>
        <w:tab w:val="left" w:pos="426"/>
        <w:tab w:val="left" w:pos="567"/>
        <w:tab w:val="left" w:pos="709"/>
      </w:tabs>
      <w:spacing w:before="240" w:after="120" w:line="240" w:lineRule="auto"/>
      <w:outlineLvl w:val="0"/>
    </w:pPr>
    <w:rPr>
      <w:rFonts w:asciiTheme="majorHAnsi" w:hAnsiTheme="majorHAnsi" w:cstheme="majorHAnsi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7DD2"/>
    <w:pPr>
      <w:numPr>
        <w:ilvl w:val="1"/>
        <w:numId w:val="41"/>
      </w:numPr>
      <w:tabs>
        <w:tab w:val="left" w:pos="567"/>
        <w:tab w:val="left" w:pos="709"/>
        <w:tab w:val="left" w:pos="851"/>
      </w:tabs>
      <w:spacing w:before="120" w:after="120"/>
      <w:outlineLvl w:val="1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7DD2"/>
    <w:pPr>
      <w:keepNext/>
      <w:keepLines/>
      <w:numPr>
        <w:ilvl w:val="2"/>
        <w:numId w:val="41"/>
      </w:numPr>
      <w:tabs>
        <w:tab w:val="left" w:pos="709"/>
        <w:tab w:val="left" w:pos="851"/>
        <w:tab w:val="left" w:pos="993"/>
      </w:tabs>
      <w:spacing w:before="120" w:after="120"/>
      <w:outlineLvl w:val="2"/>
    </w:pPr>
    <w:rPr>
      <w:rFonts w:asciiTheme="majorHAnsi" w:eastAsiaTheme="majorEastAsia" w:hAnsiTheme="majorHAnsi" w:cstheme="majorBidi"/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7DD2"/>
    <w:pPr>
      <w:keepNext/>
      <w:keepLines/>
      <w:numPr>
        <w:ilvl w:val="3"/>
        <w:numId w:val="41"/>
      </w:numPr>
      <w:tabs>
        <w:tab w:val="left" w:pos="851"/>
        <w:tab w:val="left" w:pos="993"/>
        <w:tab w:val="left" w:pos="1134"/>
      </w:tabs>
      <w:spacing w:before="120" w:after="120"/>
      <w:outlineLvl w:val="3"/>
    </w:pPr>
    <w:rPr>
      <w:rFonts w:asciiTheme="majorHAnsi" w:eastAsiaTheme="majorEastAsia" w:hAnsiTheme="majorHAnsi" w:cstheme="majorBidi"/>
      <w:bCs/>
      <w:iCs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57DD2"/>
    <w:pPr>
      <w:keepNext/>
      <w:keepLines/>
      <w:numPr>
        <w:ilvl w:val="4"/>
        <w:numId w:val="41"/>
      </w:numPr>
      <w:tabs>
        <w:tab w:val="left" w:pos="993"/>
        <w:tab w:val="left" w:pos="1134"/>
        <w:tab w:val="left" w:pos="1276"/>
      </w:tabs>
      <w:spacing w:before="120" w:after="12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57DD2"/>
    <w:pPr>
      <w:keepNext/>
      <w:keepLines/>
      <w:numPr>
        <w:ilvl w:val="5"/>
        <w:numId w:val="41"/>
      </w:numPr>
      <w:tabs>
        <w:tab w:val="left" w:pos="1134"/>
        <w:tab w:val="left" w:pos="1276"/>
        <w:tab w:val="left" w:pos="1418"/>
      </w:tabs>
      <w:spacing w:before="120" w:after="120"/>
      <w:outlineLvl w:val="5"/>
    </w:pPr>
    <w:rPr>
      <w:rFonts w:asciiTheme="majorHAnsi" w:eastAsiaTheme="majorEastAsia" w:hAnsiTheme="majorHAnsi" w:cstheme="majorBidi"/>
      <w:iCs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57DD2"/>
    <w:pPr>
      <w:keepNext/>
      <w:keepLines/>
      <w:numPr>
        <w:ilvl w:val="6"/>
        <w:numId w:val="41"/>
      </w:numPr>
      <w:tabs>
        <w:tab w:val="left" w:pos="1276"/>
        <w:tab w:val="left" w:pos="1418"/>
        <w:tab w:val="left" w:pos="1560"/>
      </w:tabs>
      <w:spacing w:before="120" w:after="12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57DD2"/>
    <w:pPr>
      <w:keepNext/>
      <w:keepLines/>
      <w:numPr>
        <w:ilvl w:val="7"/>
        <w:numId w:val="41"/>
      </w:numPr>
      <w:tabs>
        <w:tab w:val="left" w:pos="1498"/>
        <w:tab w:val="left" w:pos="1638"/>
        <w:tab w:val="left" w:pos="1806"/>
      </w:tabs>
      <w:spacing w:before="120" w:after="12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57DD2"/>
    <w:pPr>
      <w:keepNext/>
      <w:keepLines/>
      <w:numPr>
        <w:ilvl w:val="8"/>
        <w:numId w:val="41"/>
      </w:numPr>
      <w:tabs>
        <w:tab w:val="left" w:pos="1701"/>
        <w:tab w:val="left" w:pos="1843"/>
        <w:tab w:val="left" w:pos="1985"/>
      </w:tabs>
      <w:spacing w:before="120" w:after="120"/>
      <w:outlineLvl w:val="8"/>
    </w:pPr>
    <w:rPr>
      <w:rFonts w:asciiTheme="majorHAnsi" w:eastAsiaTheme="majorEastAsia" w:hAnsiTheme="majorHAnsi" w:cstheme="majorBidi"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7DD2"/>
    <w:rPr>
      <w:rFonts w:asciiTheme="majorHAnsi" w:eastAsia="Times New Roman" w:hAnsiTheme="majorHAnsi" w:cstheme="majorHAnsi"/>
      <w:b/>
      <w:sz w:val="24"/>
      <w:lang w:val="en-GB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307346"/>
    <w:rPr>
      <w:rFonts w:ascii="Arial" w:eastAsia="Times New Roman" w:hAnsi="Arial" w:cs="Arial"/>
      <w:b/>
      <w:sz w:val="20"/>
      <w:lang w:val="en-GB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307346"/>
    <w:rPr>
      <w:rFonts w:asciiTheme="majorHAnsi" w:eastAsiaTheme="majorEastAsia" w:hAnsiTheme="majorHAnsi" w:cstheme="majorBidi"/>
      <w:b/>
      <w:bCs/>
      <w:sz w:val="20"/>
      <w:lang w:val="en-GB"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307346"/>
    <w:rPr>
      <w:rFonts w:asciiTheme="majorHAnsi" w:eastAsiaTheme="majorEastAsia" w:hAnsiTheme="majorHAnsi" w:cstheme="majorBidi"/>
      <w:bCs/>
      <w:iCs/>
      <w:sz w:val="20"/>
      <w:lang w:val="en-GB"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307346"/>
    <w:rPr>
      <w:rFonts w:asciiTheme="majorHAnsi" w:eastAsiaTheme="majorEastAsia" w:hAnsiTheme="majorHAnsi" w:cstheme="majorBidi"/>
      <w:sz w:val="20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307346"/>
    <w:rPr>
      <w:rFonts w:asciiTheme="majorHAnsi" w:eastAsiaTheme="majorEastAsia" w:hAnsiTheme="majorHAnsi" w:cstheme="majorBidi"/>
      <w:iCs/>
      <w:sz w:val="20"/>
      <w:lang w:val="en-GB" w:eastAsia="zh-CN"/>
    </w:rPr>
  </w:style>
  <w:style w:type="character" w:customStyle="1" w:styleId="Heading7Char">
    <w:name w:val="Heading 7 Char"/>
    <w:basedOn w:val="DefaultParagraphFont"/>
    <w:link w:val="Heading7"/>
    <w:uiPriority w:val="9"/>
    <w:rsid w:val="00307346"/>
    <w:rPr>
      <w:rFonts w:asciiTheme="majorHAnsi" w:eastAsiaTheme="majorEastAsia" w:hAnsiTheme="majorHAnsi" w:cstheme="majorBidi"/>
      <w:iCs/>
      <w:sz w:val="20"/>
      <w:lang w:val="en-GB" w:eastAsia="zh-CN"/>
    </w:rPr>
  </w:style>
  <w:style w:type="character" w:customStyle="1" w:styleId="Heading8Char">
    <w:name w:val="Heading 8 Char"/>
    <w:basedOn w:val="DefaultParagraphFont"/>
    <w:link w:val="Heading8"/>
    <w:uiPriority w:val="9"/>
    <w:rsid w:val="00307346"/>
    <w:rPr>
      <w:rFonts w:asciiTheme="majorHAnsi" w:eastAsiaTheme="majorEastAsia" w:hAnsiTheme="majorHAnsi" w:cstheme="majorBidi"/>
      <w:sz w:val="20"/>
      <w:szCs w:val="20"/>
      <w:lang w:val="en-GB" w:eastAsia="zh-CN"/>
    </w:rPr>
  </w:style>
  <w:style w:type="character" w:customStyle="1" w:styleId="Heading9Char">
    <w:name w:val="Heading 9 Char"/>
    <w:basedOn w:val="DefaultParagraphFont"/>
    <w:link w:val="Heading9"/>
    <w:uiPriority w:val="9"/>
    <w:rsid w:val="00307346"/>
    <w:rPr>
      <w:rFonts w:asciiTheme="majorHAnsi" w:eastAsiaTheme="majorEastAsia" w:hAnsiTheme="majorHAnsi" w:cstheme="majorBidi"/>
      <w:iCs/>
      <w:sz w:val="20"/>
      <w:szCs w:val="20"/>
      <w:lang w:val="en-GB" w:eastAsia="zh-CN"/>
    </w:rPr>
  </w:style>
  <w:style w:type="character" w:styleId="Hyperlink">
    <w:name w:val="Hyperlink"/>
    <w:basedOn w:val="DefaultParagraphFont"/>
    <w:uiPriority w:val="99"/>
    <w:unhideWhenUsed/>
    <w:rsid w:val="00F57DD2"/>
    <w:rPr>
      <w:color w:val="0000FF" w:themeColor="hyperlink"/>
      <w:u w:val="single"/>
    </w:rPr>
  </w:style>
  <w:style w:type="paragraph" w:customStyle="1" w:styleId="Subject">
    <w:name w:val="Subject"/>
    <w:basedOn w:val="Normal"/>
    <w:qFormat/>
    <w:rsid w:val="00F57DD2"/>
    <w:pPr>
      <w:spacing w:after="480"/>
    </w:pPr>
    <w:rPr>
      <w:b/>
      <w:bCs/>
      <w:lang w:val="de-DE"/>
    </w:rPr>
  </w:style>
  <w:style w:type="paragraph" w:customStyle="1" w:styleId="Indentionlevel1">
    <w:name w:val="Indention level 1"/>
    <w:basedOn w:val="Normal"/>
    <w:qFormat/>
    <w:rsid w:val="00F57DD2"/>
    <w:pPr>
      <w:ind w:left="284"/>
    </w:pPr>
  </w:style>
  <w:style w:type="table" w:styleId="Table3Deffects3">
    <w:name w:val="Table 3D effects 3"/>
    <w:basedOn w:val="TableNormal"/>
    <w:rsid w:val="00F57DD2"/>
    <w:pPr>
      <w:spacing w:after="0" w:line="264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umeration">
    <w:name w:val="Numeration"/>
    <w:basedOn w:val="Normal"/>
    <w:qFormat/>
    <w:rsid w:val="00F57DD2"/>
    <w:pPr>
      <w:numPr>
        <w:numId w:val="30"/>
      </w:numPr>
      <w:contextualSpacing/>
    </w:pPr>
    <w:rPr>
      <w:lang w:val="de-DE"/>
    </w:rPr>
  </w:style>
  <w:style w:type="paragraph" w:customStyle="1" w:styleId="Bullet">
    <w:name w:val="Bullet"/>
    <w:basedOn w:val="Normal"/>
    <w:qFormat/>
    <w:rsid w:val="00F57DD2"/>
    <w:pPr>
      <w:numPr>
        <w:numId w:val="29"/>
      </w:numPr>
      <w:contextualSpacing/>
    </w:pPr>
  </w:style>
  <w:style w:type="paragraph" w:customStyle="1" w:styleId="Normalright">
    <w:name w:val="Normal right"/>
    <w:basedOn w:val="Normal"/>
    <w:qFormat/>
    <w:rsid w:val="00F57DD2"/>
    <w:pPr>
      <w:jc w:val="right"/>
    </w:pPr>
  </w:style>
  <w:style w:type="paragraph" w:customStyle="1" w:styleId="Informationrow">
    <w:name w:val="Information row"/>
    <w:basedOn w:val="Normal"/>
    <w:uiPriority w:val="99"/>
    <w:qFormat/>
    <w:rsid w:val="00F57DD2"/>
    <w:pPr>
      <w:spacing w:line="200" w:lineRule="exact"/>
    </w:pPr>
    <w:rPr>
      <w:sz w:val="15"/>
      <w:szCs w:val="14"/>
      <w:lang w:val="de-DE" w:eastAsia="de-DE"/>
    </w:rPr>
  </w:style>
  <w:style w:type="paragraph" w:styleId="Title">
    <w:name w:val="Title"/>
    <w:basedOn w:val="Normal"/>
    <w:next w:val="Normal"/>
    <w:link w:val="TitleChar"/>
    <w:uiPriority w:val="1"/>
    <w:qFormat/>
    <w:rsid w:val="00F57DD2"/>
    <w:pPr>
      <w:spacing w:after="440" w:line="480" w:lineRule="exact"/>
    </w:pPr>
    <w:rPr>
      <w:b/>
      <w:color w:val="005192" w:themeColor="accent2"/>
      <w:sz w:val="44"/>
      <w:szCs w:val="44"/>
      <w:lang w:val="de-DE"/>
    </w:rPr>
  </w:style>
  <w:style w:type="character" w:customStyle="1" w:styleId="TitleChar">
    <w:name w:val="Title Char"/>
    <w:basedOn w:val="DefaultParagraphFont"/>
    <w:link w:val="Title"/>
    <w:uiPriority w:val="1"/>
    <w:rsid w:val="00E434CB"/>
    <w:rPr>
      <w:rFonts w:ascii="Arial" w:eastAsia="Times New Roman" w:hAnsi="Arial" w:cs="Arial"/>
      <w:b/>
      <w:color w:val="005192" w:themeColor="accent2"/>
      <w:sz w:val="44"/>
      <w:szCs w:val="44"/>
      <w:lang w:eastAsia="zh-CN"/>
    </w:rPr>
  </w:style>
  <w:style w:type="table" w:styleId="TableGrid">
    <w:name w:val="Table Grid"/>
    <w:basedOn w:val="TableNormal"/>
    <w:uiPriority w:val="59"/>
    <w:rsid w:val="00F57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ionlevel2">
    <w:name w:val="Indention level 2"/>
    <w:basedOn w:val="Indentionlevel1"/>
    <w:qFormat/>
    <w:rsid w:val="00F57DD2"/>
    <w:pPr>
      <w:ind w:left="567"/>
    </w:pPr>
  </w:style>
  <w:style w:type="character" w:styleId="Strong">
    <w:name w:val="Strong"/>
    <w:basedOn w:val="DefaultParagraphFont"/>
    <w:qFormat/>
    <w:rsid w:val="00F57DD2"/>
    <w:rPr>
      <w:b/>
      <w:bCs/>
    </w:rPr>
  </w:style>
  <w:style w:type="paragraph" w:styleId="Header">
    <w:name w:val="header"/>
    <w:basedOn w:val="Normal"/>
    <w:link w:val="HeaderChar"/>
    <w:qFormat/>
    <w:rsid w:val="00F57DD2"/>
    <w:pPr>
      <w:tabs>
        <w:tab w:val="center" w:pos="4819"/>
        <w:tab w:val="right" w:pos="9071"/>
      </w:tabs>
    </w:pPr>
    <w:rPr>
      <w:lang w:val="de-DE"/>
    </w:rPr>
  </w:style>
  <w:style w:type="character" w:customStyle="1" w:styleId="HeaderChar">
    <w:name w:val="Header Char"/>
    <w:basedOn w:val="DefaultParagraphFont"/>
    <w:link w:val="Header"/>
    <w:rsid w:val="00F57DD2"/>
    <w:rPr>
      <w:rFonts w:ascii="Arial" w:eastAsia="Times New Roman" w:hAnsi="Arial" w:cs="Arial"/>
      <w:lang w:eastAsia="zh-CN"/>
    </w:rPr>
  </w:style>
  <w:style w:type="table" w:styleId="LightList">
    <w:name w:val="Light List"/>
    <w:basedOn w:val="TableNormal"/>
    <w:uiPriority w:val="61"/>
    <w:rsid w:val="00F57DD2"/>
    <w:pPr>
      <w:spacing w:after="0" w:line="240" w:lineRule="auto"/>
    </w:pPr>
    <w:tblPr>
      <w:tblStyleRowBandSize w:val="1"/>
      <w:tblStyleColBandSize w:val="1"/>
      <w:tblBorders>
        <w:top w:val="single" w:sz="8" w:space="0" w:color="3E3E3E" w:themeColor="text1"/>
        <w:left w:val="single" w:sz="8" w:space="0" w:color="3E3E3E" w:themeColor="text1"/>
        <w:bottom w:val="single" w:sz="8" w:space="0" w:color="3E3E3E" w:themeColor="text1"/>
        <w:right w:val="single" w:sz="8" w:space="0" w:color="3E3E3E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3E3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3E3E" w:themeColor="text1"/>
          <w:left w:val="single" w:sz="8" w:space="0" w:color="3E3E3E" w:themeColor="text1"/>
          <w:bottom w:val="single" w:sz="8" w:space="0" w:color="3E3E3E" w:themeColor="text1"/>
          <w:right w:val="single" w:sz="8" w:space="0" w:color="3E3E3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3E3E" w:themeColor="text1"/>
          <w:left w:val="single" w:sz="8" w:space="0" w:color="3E3E3E" w:themeColor="text1"/>
          <w:bottom w:val="single" w:sz="8" w:space="0" w:color="3E3E3E" w:themeColor="text1"/>
          <w:right w:val="single" w:sz="8" w:space="0" w:color="3E3E3E" w:themeColor="text1"/>
        </w:tcBorders>
      </w:tcPr>
    </w:tblStylePr>
    <w:tblStylePr w:type="band1Horz">
      <w:tblPr/>
      <w:tcPr>
        <w:tcBorders>
          <w:top w:val="single" w:sz="8" w:space="0" w:color="3E3E3E" w:themeColor="text1"/>
          <w:left w:val="single" w:sz="8" w:space="0" w:color="3E3E3E" w:themeColor="text1"/>
          <w:bottom w:val="single" w:sz="8" w:space="0" w:color="3E3E3E" w:themeColor="text1"/>
          <w:right w:val="single" w:sz="8" w:space="0" w:color="3E3E3E" w:themeColor="text1"/>
        </w:tcBorders>
      </w:tcPr>
    </w:tblStylePr>
  </w:style>
  <w:style w:type="paragraph" w:customStyle="1" w:styleId="Numerationcontinuous">
    <w:name w:val="Numeration continuous"/>
    <w:basedOn w:val="Normal"/>
    <w:qFormat/>
    <w:rsid w:val="00F57DD2"/>
    <w:pPr>
      <w:numPr>
        <w:numId w:val="31"/>
      </w:numPr>
      <w:tabs>
        <w:tab w:val="left" w:pos="284"/>
        <w:tab w:val="left" w:pos="426"/>
        <w:tab w:val="left" w:pos="567"/>
        <w:tab w:val="left" w:pos="709"/>
        <w:tab w:val="left" w:pos="851"/>
        <w:tab w:val="left" w:pos="993"/>
        <w:tab w:val="left" w:pos="1134"/>
        <w:tab w:val="left" w:pos="1276"/>
        <w:tab w:val="left" w:pos="1418"/>
        <w:tab w:val="left" w:pos="1560"/>
        <w:tab w:val="left" w:pos="1701"/>
        <w:tab w:val="left" w:pos="1843"/>
        <w:tab w:val="left" w:pos="1985"/>
        <w:tab w:val="left" w:pos="2127"/>
        <w:tab w:val="left" w:pos="2268"/>
      </w:tabs>
      <w:contextualSpacing/>
    </w:pPr>
    <w:rPr>
      <w:lang w:val="de-DE"/>
    </w:rPr>
  </w:style>
  <w:style w:type="paragraph" w:styleId="TOC1">
    <w:name w:val="toc 1"/>
    <w:basedOn w:val="Normal"/>
    <w:next w:val="Normal"/>
    <w:autoRedefine/>
    <w:uiPriority w:val="39"/>
    <w:unhideWhenUsed/>
    <w:rsid w:val="003A641D"/>
    <w:pPr>
      <w:tabs>
        <w:tab w:val="right" w:leader="underscore" w:pos="9062"/>
      </w:tabs>
      <w:spacing w:before="300" w:after="220"/>
      <w:ind w:left="851" w:right="567" w:hanging="851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220" w:after="100"/>
      <w:ind w:left="851" w:right="567" w:hanging="851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/>
      <w:ind w:left="851" w:right="567" w:hanging="851"/>
    </w:pPr>
    <w:rPr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/>
      <w:ind w:left="2269" w:right="567" w:hanging="1418"/>
    </w:pPr>
    <w:rPr>
      <w:noProof/>
    </w:rPr>
  </w:style>
  <w:style w:type="paragraph" w:styleId="TOC5">
    <w:name w:val="toc 5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/>
      <w:ind w:left="2269" w:right="567" w:hanging="1418"/>
    </w:pPr>
    <w:rPr>
      <w:noProof/>
    </w:rPr>
  </w:style>
  <w:style w:type="paragraph" w:styleId="TOC6">
    <w:name w:val="toc 6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/>
      <w:ind w:left="2269" w:right="567" w:hanging="1418"/>
    </w:pPr>
    <w:rPr>
      <w:noProof/>
    </w:rPr>
  </w:style>
  <w:style w:type="paragraph" w:styleId="TOC7">
    <w:name w:val="toc 7"/>
    <w:basedOn w:val="Normal"/>
    <w:next w:val="Normal"/>
    <w:autoRedefine/>
    <w:uiPriority w:val="39"/>
    <w:unhideWhenUsed/>
    <w:rsid w:val="003A641D"/>
    <w:pPr>
      <w:tabs>
        <w:tab w:val="right" w:pos="9062"/>
      </w:tabs>
      <w:spacing w:after="100"/>
      <w:ind w:left="3402" w:right="567" w:hanging="1701"/>
    </w:pPr>
    <w:rPr>
      <w:noProof/>
    </w:rPr>
  </w:style>
  <w:style w:type="paragraph" w:styleId="TOC8">
    <w:name w:val="toc 8"/>
    <w:basedOn w:val="Normal"/>
    <w:next w:val="Normal"/>
    <w:autoRedefine/>
    <w:uiPriority w:val="39"/>
    <w:unhideWhenUsed/>
    <w:rsid w:val="003A641D"/>
    <w:pPr>
      <w:tabs>
        <w:tab w:val="right" w:pos="9062"/>
      </w:tabs>
      <w:spacing w:after="100"/>
      <w:ind w:left="3402" w:right="567" w:hanging="1701"/>
    </w:pPr>
    <w:rPr>
      <w:noProof/>
    </w:rPr>
  </w:style>
  <w:style w:type="paragraph" w:styleId="TOC9">
    <w:name w:val="toc 9"/>
    <w:basedOn w:val="Normal"/>
    <w:next w:val="Normal"/>
    <w:autoRedefine/>
    <w:uiPriority w:val="39"/>
    <w:unhideWhenUsed/>
    <w:rsid w:val="00543823"/>
    <w:pPr>
      <w:tabs>
        <w:tab w:val="right" w:pos="9062"/>
      </w:tabs>
      <w:spacing w:after="100"/>
      <w:ind w:left="3402" w:right="567" w:hanging="1701"/>
    </w:pPr>
    <w:rPr>
      <w:noProof/>
    </w:rPr>
  </w:style>
  <w:style w:type="table" w:styleId="LightList-Accent5">
    <w:name w:val="Light List Accent 5"/>
    <w:basedOn w:val="TableNormal"/>
    <w:uiPriority w:val="61"/>
    <w:rsid w:val="00F57DD2"/>
    <w:pPr>
      <w:spacing w:after="0" w:line="240" w:lineRule="auto"/>
    </w:pPr>
    <w:tblPr>
      <w:tblStyleRowBandSize w:val="1"/>
      <w:tblStyleColBandSize w:val="1"/>
      <w:tblBorders>
        <w:top w:val="single" w:sz="8" w:space="0" w:color="D6D1CC" w:themeColor="accent5"/>
        <w:left w:val="single" w:sz="8" w:space="0" w:color="D6D1CC" w:themeColor="accent5"/>
        <w:bottom w:val="single" w:sz="8" w:space="0" w:color="D6D1CC" w:themeColor="accent5"/>
        <w:right w:val="single" w:sz="8" w:space="0" w:color="D6D1C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D1C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D1CC" w:themeColor="accent5"/>
          <w:left w:val="single" w:sz="8" w:space="0" w:color="D6D1CC" w:themeColor="accent5"/>
          <w:bottom w:val="single" w:sz="8" w:space="0" w:color="D6D1CC" w:themeColor="accent5"/>
          <w:right w:val="single" w:sz="8" w:space="0" w:color="D6D1C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D1CC" w:themeColor="accent5"/>
          <w:left w:val="single" w:sz="8" w:space="0" w:color="D6D1CC" w:themeColor="accent5"/>
          <w:bottom w:val="single" w:sz="8" w:space="0" w:color="D6D1CC" w:themeColor="accent5"/>
          <w:right w:val="single" w:sz="8" w:space="0" w:color="D6D1CC" w:themeColor="accent5"/>
        </w:tcBorders>
      </w:tcPr>
    </w:tblStylePr>
    <w:tblStylePr w:type="band1Horz">
      <w:tblPr/>
      <w:tcPr>
        <w:tcBorders>
          <w:top w:val="single" w:sz="8" w:space="0" w:color="D6D1CC" w:themeColor="accent5"/>
          <w:left w:val="single" w:sz="8" w:space="0" w:color="D6D1CC" w:themeColor="accent5"/>
          <w:bottom w:val="single" w:sz="8" w:space="0" w:color="D6D1CC" w:themeColor="accent5"/>
          <w:right w:val="single" w:sz="8" w:space="0" w:color="D6D1CC" w:themeColor="accent5"/>
        </w:tcBorders>
      </w:tcPr>
    </w:tblStylePr>
  </w:style>
  <w:style w:type="table" w:customStyle="1" w:styleId="HannoverRe">
    <w:name w:val="Hannover Re"/>
    <w:basedOn w:val="TableNormal"/>
    <w:uiPriority w:val="99"/>
    <w:rsid w:val="00F57DD2"/>
    <w:pPr>
      <w:spacing w:after="0"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</w:tblCellMar>
    </w:tblPr>
    <w:trPr>
      <w:cantSplit/>
    </w:trPr>
    <w:tblStylePr w:type="firstRow">
      <w:pPr>
        <w:wordWrap/>
        <w:spacing w:beforeLines="0" w:before="0" w:beforeAutospacing="0" w:afterLines="0" w:after="0" w:afterAutospacing="0" w:line="240" w:lineRule="auto"/>
      </w:pPr>
      <w:rPr>
        <w:b/>
      </w:rPr>
      <w:tblPr/>
      <w:trPr>
        <w:cantSplit w:val="0"/>
      </w:trPr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DEDEDE"/>
        <w:tcMar>
          <w:top w:w="57" w:type="dxa"/>
          <w:left w:w="108" w:type="dxa"/>
          <w:bottom w:w="0" w:type="nil"/>
          <w:right w:w="108" w:type="dxa"/>
        </w:tcMar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ConfidentialNotice">
    <w:name w:val="Confidential Notice"/>
    <w:basedOn w:val="Normal"/>
    <w:uiPriority w:val="99"/>
    <w:qFormat/>
    <w:rsid w:val="00F57DD2"/>
    <w:pPr>
      <w:spacing w:line="170" w:lineRule="exact"/>
    </w:pPr>
    <w:rPr>
      <w:color w:val="4D4D4D"/>
      <w:sz w:val="13"/>
    </w:rPr>
  </w:style>
  <w:style w:type="paragraph" w:styleId="Footer">
    <w:name w:val="footer"/>
    <w:basedOn w:val="Normal"/>
    <w:link w:val="FooterChar"/>
    <w:uiPriority w:val="99"/>
    <w:unhideWhenUsed/>
    <w:qFormat/>
    <w:rsid w:val="00F57DD2"/>
    <w:pPr>
      <w:tabs>
        <w:tab w:val="center" w:pos="4536"/>
        <w:tab w:val="right" w:pos="9072"/>
      </w:tabs>
      <w:spacing w:line="200" w:lineRule="exact"/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F57DD2"/>
    <w:rPr>
      <w:rFonts w:ascii="Arial" w:eastAsia="Times New Roman" w:hAnsi="Arial" w:cs="Arial"/>
      <w:sz w:val="15"/>
      <w:lang w:val="en-GB" w:eastAsia="zh-CN"/>
    </w:rPr>
  </w:style>
  <w:style w:type="paragraph" w:customStyle="1" w:styleId="Footersmall">
    <w:name w:val="Footer small"/>
    <w:basedOn w:val="Footer"/>
    <w:uiPriority w:val="99"/>
    <w:qFormat/>
    <w:rsid w:val="00F57DD2"/>
    <w:pPr>
      <w:spacing w:line="170" w:lineRule="exact"/>
    </w:pPr>
    <w:rPr>
      <w:sz w:val="13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D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DD2"/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ReportHL1">
    <w:name w:val="Report HL1"/>
    <w:next w:val="Normal"/>
    <w:uiPriority w:val="2"/>
    <w:qFormat/>
    <w:rsid w:val="008B64A7"/>
    <w:pPr>
      <w:keepNext/>
      <w:keepLines/>
      <w:spacing w:line="400" w:lineRule="atLeast"/>
      <w:outlineLvl w:val="0"/>
    </w:pPr>
    <w:rPr>
      <w:rFonts w:ascii="Arial" w:hAnsi="Arial" w:cs="Arial"/>
      <w:color w:val="009EE0" w:themeColor="accent1"/>
      <w:sz w:val="36"/>
      <w:lang w:val="en-GB"/>
    </w:rPr>
  </w:style>
  <w:style w:type="paragraph" w:customStyle="1" w:styleId="ReportHL2">
    <w:name w:val="Report HL2"/>
    <w:next w:val="Normal"/>
    <w:uiPriority w:val="2"/>
    <w:qFormat/>
    <w:rsid w:val="008B64A7"/>
    <w:pPr>
      <w:keepNext/>
      <w:keepLines/>
      <w:spacing w:line="240" w:lineRule="auto"/>
      <w:outlineLvl w:val="1"/>
    </w:pPr>
    <w:rPr>
      <w:rFonts w:ascii="Arial" w:hAnsi="Arial" w:cs="Arial"/>
      <w:b/>
      <w:color w:val="005192" w:themeColor="accent2"/>
      <w:sz w:val="25"/>
      <w:lang w:val="en-GB"/>
    </w:rPr>
  </w:style>
  <w:style w:type="paragraph" w:customStyle="1" w:styleId="ReportHL3">
    <w:name w:val="Report HL3"/>
    <w:next w:val="Normal"/>
    <w:uiPriority w:val="2"/>
    <w:qFormat/>
    <w:rsid w:val="008B64A7"/>
    <w:pPr>
      <w:keepNext/>
      <w:keepLines/>
      <w:spacing w:line="250" w:lineRule="atLeast"/>
      <w:outlineLvl w:val="2"/>
    </w:pPr>
    <w:rPr>
      <w:rFonts w:ascii="Arial" w:hAnsi="Arial" w:cs="Arial"/>
      <w:b/>
      <w:color w:val="005192" w:themeColor="accent2"/>
      <w:sz w:val="20"/>
      <w:lang w:val="en-GB"/>
    </w:rPr>
  </w:style>
  <w:style w:type="paragraph" w:customStyle="1" w:styleId="ReportHL4">
    <w:name w:val="Report HL4"/>
    <w:next w:val="Normal"/>
    <w:uiPriority w:val="2"/>
    <w:qFormat/>
    <w:rsid w:val="008B64A7"/>
    <w:pPr>
      <w:keepNext/>
      <w:keepLines/>
      <w:spacing w:after="0" w:line="250" w:lineRule="atLeast"/>
      <w:outlineLvl w:val="3"/>
    </w:pPr>
    <w:rPr>
      <w:rFonts w:ascii="Arial" w:hAnsi="Arial" w:cs="Arial"/>
      <w:b/>
      <w:color w:val="B4AEAE" w:themeColor="accent6"/>
      <w:sz w:val="18"/>
      <w:lang w:val="en-GB"/>
    </w:rPr>
  </w:style>
  <w:style w:type="paragraph" w:customStyle="1" w:styleId="ReportHL5">
    <w:name w:val="Report HL5"/>
    <w:next w:val="Normal"/>
    <w:uiPriority w:val="2"/>
    <w:qFormat/>
    <w:rsid w:val="008B64A7"/>
    <w:pPr>
      <w:keepNext/>
      <w:keepLines/>
      <w:spacing w:after="0" w:line="250" w:lineRule="atLeast"/>
      <w:outlineLvl w:val="4"/>
    </w:pPr>
    <w:rPr>
      <w:rFonts w:ascii="Arial" w:hAnsi="Arial" w:cs="Arial"/>
      <w:b/>
      <w:color w:val="B4AEAE" w:themeColor="accent6"/>
      <w:sz w:val="17"/>
      <w:lang w:val="en-GB"/>
    </w:rPr>
  </w:style>
  <w:style w:type="paragraph" w:customStyle="1" w:styleId="ReportHL6">
    <w:name w:val="Report HL6"/>
    <w:next w:val="Normal"/>
    <w:uiPriority w:val="2"/>
    <w:qFormat/>
    <w:rsid w:val="008B64A7"/>
    <w:pPr>
      <w:keepNext/>
      <w:keepLines/>
      <w:spacing w:after="0" w:line="250" w:lineRule="atLeast"/>
      <w:outlineLvl w:val="5"/>
    </w:pPr>
    <w:rPr>
      <w:rFonts w:ascii="Arial" w:hAnsi="Arial" w:cs="Arial"/>
      <w:b/>
      <w:sz w:val="17"/>
      <w:lang w:val="en-GB"/>
    </w:rPr>
  </w:style>
  <w:style w:type="paragraph" w:customStyle="1" w:styleId="HL1">
    <w:name w:val="HL1"/>
    <w:basedOn w:val="Heading1"/>
    <w:next w:val="Normal"/>
    <w:uiPriority w:val="2"/>
    <w:qFormat/>
    <w:rsid w:val="00C70C30"/>
    <w:pPr>
      <w:numPr>
        <w:numId w:val="40"/>
      </w:numPr>
    </w:pPr>
  </w:style>
  <w:style w:type="paragraph" w:customStyle="1" w:styleId="HL2">
    <w:name w:val="HL2"/>
    <w:basedOn w:val="Heading2"/>
    <w:next w:val="Normal"/>
    <w:uiPriority w:val="2"/>
    <w:qFormat/>
    <w:rsid w:val="00C70C30"/>
    <w:pPr>
      <w:numPr>
        <w:numId w:val="40"/>
      </w:numPr>
    </w:pPr>
  </w:style>
  <w:style w:type="paragraph" w:customStyle="1" w:styleId="HL3">
    <w:name w:val="HL3"/>
    <w:basedOn w:val="Heading3"/>
    <w:next w:val="Normal"/>
    <w:uiPriority w:val="2"/>
    <w:qFormat/>
    <w:rsid w:val="00C70C30"/>
    <w:pPr>
      <w:numPr>
        <w:numId w:val="40"/>
      </w:numPr>
    </w:pPr>
  </w:style>
  <w:style w:type="paragraph" w:customStyle="1" w:styleId="HL4">
    <w:name w:val="HL4"/>
    <w:basedOn w:val="Heading4"/>
    <w:next w:val="Normal"/>
    <w:uiPriority w:val="2"/>
    <w:qFormat/>
    <w:rsid w:val="00C70C30"/>
    <w:pPr>
      <w:numPr>
        <w:numId w:val="40"/>
      </w:numPr>
    </w:pPr>
  </w:style>
  <w:style w:type="paragraph" w:customStyle="1" w:styleId="HL5">
    <w:name w:val="HL5"/>
    <w:basedOn w:val="Heading5"/>
    <w:next w:val="Normal"/>
    <w:uiPriority w:val="2"/>
    <w:qFormat/>
    <w:rsid w:val="00C70C30"/>
    <w:pPr>
      <w:numPr>
        <w:numId w:val="40"/>
      </w:numPr>
    </w:pPr>
  </w:style>
  <w:style w:type="paragraph" w:customStyle="1" w:styleId="HL6">
    <w:name w:val="HL6"/>
    <w:basedOn w:val="Heading6"/>
    <w:next w:val="Normal"/>
    <w:uiPriority w:val="2"/>
    <w:qFormat/>
    <w:rsid w:val="00C70C30"/>
    <w:pPr>
      <w:numPr>
        <w:numId w:val="40"/>
      </w:numPr>
    </w:pPr>
  </w:style>
  <w:style w:type="paragraph" w:customStyle="1" w:styleId="HL7">
    <w:name w:val="HL7"/>
    <w:basedOn w:val="Heading7"/>
    <w:next w:val="Normal"/>
    <w:uiPriority w:val="2"/>
    <w:qFormat/>
    <w:rsid w:val="00C70C30"/>
    <w:pPr>
      <w:numPr>
        <w:numId w:val="40"/>
      </w:numPr>
    </w:pPr>
  </w:style>
  <w:style w:type="paragraph" w:customStyle="1" w:styleId="HL8">
    <w:name w:val="HL8"/>
    <w:basedOn w:val="Heading8"/>
    <w:next w:val="Normal"/>
    <w:uiPriority w:val="2"/>
    <w:qFormat/>
    <w:rsid w:val="00C70C30"/>
    <w:pPr>
      <w:numPr>
        <w:numId w:val="40"/>
      </w:numPr>
    </w:pPr>
  </w:style>
  <w:style w:type="paragraph" w:customStyle="1" w:styleId="HL9">
    <w:name w:val="HL9"/>
    <w:basedOn w:val="Heading9"/>
    <w:next w:val="Normal"/>
    <w:uiPriority w:val="2"/>
    <w:qFormat/>
    <w:rsid w:val="00C70C30"/>
    <w:pPr>
      <w:numPr>
        <w:numId w:val="40"/>
      </w:numPr>
    </w:pPr>
  </w:style>
  <w:style w:type="paragraph" w:customStyle="1" w:styleId="DeckblattSubline">
    <w:name w:val="Deckblatt Subline"/>
    <w:basedOn w:val="Normal"/>
    <w:uiPriority w:val="1"/>
    <w:qFormat/>
    <w:rsid w:val="00E434CB"/>
    <w:pPr>
      <w:spacing w:after="120"/>
    </w:pPr>
    <w:rPr>
      <w:color w:val="005192" w:themeColor="accent2"/>
      <w:sz w:val="40"/>
      <w:szCs w:val="40"/>
    </w:rPr>
  </w:style>
  <w:style w:type="paragraph" w:customStyle="1" w:styleId="DeckblattTitel">
    <w:name w:val="Deckblatt Titel"/>
    <w:basedOn w:val="Normal"/>
    <w:uiPriority w:val="1"/>
    <w:qFormat/>
    <w:rsid w:val="00610F59"/>
    <w:pPr>
      <w:spacing w:before="120" w:line="240" w:lineRule="auto"/>
      <w:contextualSpacing/>
    </w:pPr>
    <w:rPr>
      <w:sz w:val="52"/>
      <w:szCs w:val="52"/>
    </w:rPr>
  </w:style>
  <w:style w:type="paragraph" w:customStyle="1" w:styleId="TitelDeckblatt">
    <w:name w:val="Titel Deckblatt"/>
    <w:basedOn w:val="Normal"/>
    <w:qFormat/>
    <w:rsid w:val="00C90E9C"/>
    <w:pPr>
      <w:spacing w:before="120" w:line="240" w:lineRule="auto"/>
      <w:contextualSpacing/>
    </w:pPr>
    <w:rPr>
      <w:sz w:val="52"/>
      <w:szCs w:val="52"/>
    </w:rPr>
  </w:style>
  <w:style w:type="paragraph" w:customStyle="1" w:styleId="DachzeileDeckblatt">
    <w:name w:val="Dachzeile Deckblatt"/>
    <w:basedOn w:val="Normal"/>
    <w:qFormat/>
    <w:rsid w:val="00C90E9C"/>
    <w:pPr>
      <w:spacing w:after="120"/>
    </w:pPr>
    <w:rPr>
      <w:color w:val="005192" w:themeColor="accent2"/>
      <w:sz w:val="40"/>
      <w:szCs w:val="40"/>
    </w:rPr>
  </w:style>
  <w:style w:type="paragraph" w:styleId="EndnoteText">
    <w:name w:val="endnote text"/>
    <w:basedOn w:val="Normal"/>
    <w:link w:val="EndnoteTextChar"/>
    <w:uiPriority w:val="99"/>
    <w:semiHidden/>
    <w:rsid w:val="006C5965"/>
    <w:pPr>
      <w:spacing w:line="240" w:lineRule="auto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C5965"/>
    <w:rPr>
      <w:rFonts w:ascii="Times New Roman" w:hAnsi="Times New Roman" w:cs="Times New Roman"/>
      <w:sz w:val="20"/>
      <w:szCs w:val="20"/>
      <w:lang w:val="x-none" w:eastAsia="x-none"/>
    </w:rPr>
  </w:style>
  <w:style w:type="character" w:styleId="EndnoteReference">
    <w:name w:val="endnote reference"/>
    <w:uiPriority w:val="99"/>
    <w:semiHidden/>
    <w:rsid w:val="006C596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er.cancer.gov/csr/1975_2012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eer.cancer.gov/csr/1975_2012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eer.cancer.gov/csr/1975_2012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urldefense.proofpoint.com/v2/url?u=http-3A__www.fda.gov_NewsEvents_Newsroom_PressAnnouncements_ucm469571.htm&amp;d=CwMFAg&amp;c=eBVNo3YqzKy-usbkcQ9Xkw&amp;r=zT6gOanFVMRsFhbEgtUBaHI6xOWHhaoIkWTvRza6n0g&amp;m=EFpcaOB4YLUThzLU-omwdScgXf4K21nFcp8Xn9oFzPU&amp;s=FQg_o3VLbmuLdyFO7LaF3mNdJkDy6EEBdM5K7dtOYxc&amp;e=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eer.cancer.gov/csr/1975_2012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Hannover Re">
      <a:dk1>
        <a:srgbClr val="3E3E3E"/>
      </a:dk1>
      <a:lt1>
        <a:srgbClr val="FFFFFF"/>
      </a:lt1>
      <a:dk2>
        <a:srgbClr val="A0B4BF"/>
      </a:dk2>
      <a:lt2>
        <a:srgbClr val="4D6B79"/>
      </a:lt2>
      <a:accent1>
        <a:srgbClr val="009EE0"/>
      </a:accent1>
      <a:accent2>
        <a:srgbClr val="005192"/>
      </a:accent2>
      <a:accent3>
        <a:srgbClr val="ACD819"/>
      </a:accent3>
      <a:accent4>
        <a:srgbClr val="7A9501"/>
      </a:accent4>
      <a:accent5>
        <a:srgbClr val="D6D1CC"/>
      </a:accent5>
      <a:accent6>
        <a:srgbClr val="B4AEAE"/>
      </a:accent6>
      <a:hlink>
        <a:srgbClr val="0000FF"/>
      </a:hlink>
      <a:folHlink>
        <a:srgbClr val="800080"/>
      </a:folHlink>
    </a:clrScheme>
    <a:fontScheme name="Hannover 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D02B5-CBD0-48F8-956E-1A8B4B8DF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3724</Words>
  <Characters>21231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Hannover Rück SE</Company>
  <LinksUpToDate>false</LinksUpToDate>
  <CharactersWithSpaces>24906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McDonald Jodi</dc:creator>
  <cp:keywords/>
  <dc:description/>
  <cp:lastModifiedBy>McDonald Jodi</cp:lastModifiedBy>
  <cp:revision>6</cp:revision>
  <cp:lastPrinted>2012-11-08T13:15:00Z</cp:lastPrinted>
  <dcterms:created xsi:type="dcterms:W3CDTF">2019-02-24T05:25:00Z</dcterms:created>
  <dcterms:modified xsi:type="dcterms:W3CDTF">2019-02-25T05:18:00Z</dcterms:modified>
</cp:coreProperties>
</file>