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EB" w:rsidRDefault="001B5FEB" w:rsidP="001B5FEB">
      <w:pPr>
        <w:jc w:val="center"/>
        <w:rPr>
          <w:b/>
        </w:rPr>
      </w:pPr>
      <w:r w:rsidRPr="001B5FEB">
        <w:rPr>
          <w:b/>
        </w:rPr>
        <w:t>ALU 201 Chapter 4 References</w:t>
      </w:r>
    </w:p>
    <w:p w:rsidR="001B5FEB" w:rsidRDefault="001B5FEB" w:rsidP="001B5FEB">
      <w:pPr>
        <w:rPr>
          <w:b/>
        </w:rPr>
      </w:pPr>
    </w:p>
    <w:p w:rsidR="001B5FEB" w:rsidRDefault="001B5FEB" w:rsidP="001B5FEB">
      <w:pPr>
        <w:rPr>
          <w:b/>
        </w:rPr>
      </w:pPr>
    </w:p>
    <w:p w:rsidR="004147D2" w:rsidRDefault="004147D2" w:rsidP="004147D2">
      <w:pPr>
        <w:pStyle w:val="EndnoteText"/>
      </w:pPr>
      <w:r>
        <w:rPr>
          <w:rStyle w:val="EndnoteReference"/>
        </w:rPr>
        <w:footnoteRef/>
      </w:r>
      <w:r>
        <w:t xml:space="preserve"> Ethel Sloane.  Chapter 18 – The Reproductive Systems, Pregnancy, and Development. In: Anatomy and Physiology, </w:t>
      </w:r>
      <w:proofErr w:type="gramStart"/>
      <w:r>
        <w:t>An</w:t>
      </w:r>
      <w:proofErr w:type="gramEnd"/>
      <w:r>
        <w:t xml:space="preserve"> Easy Learner. (Jones and Bartlett 1994): pp 348-356.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</w:pPr>
      <w:r>
        <w:rPr>
          <w:rStyle w:val="EndnoteReference"/>
        </w:rPr>
        <w:t>2</w:t>
      </w:r>
      <w:r w:rsidR="004147D2">
        <w:t xml:space="preserve"> “The female organs” </w:t>
      </w:r>
      <w:r w:rsidR="004147D2">
        <w:rPr>
          <w:u w:val="single"/>
        </w:rPr>
        <w:t>Mayo Clinic Family Health Book</w:t>
      </w:r>
      <w:r w:rsidR="004147D2">
        <w:t>, D Larson, ed., William Morrow and Co., New York, 1990, pp 1054-7.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</w:pPr>
      <w:r>
        <w:rPr>
          <w:rStyle w:val="EndnoteReference"/>
        </w:rPr>
        <w:t>3</w:t>
      </w:r>
      <w:r w:rsidR="004147D2">
        <w:t xml:space="preserve"> Ethel Sloane.  Chapter 18 – The Reproductive Systems, Pregnancy, and Development. In: Anatomy and Physiology, </w:t>
      </w:r>
      <w:proofErr w:type="gramStart"/>
      <w:r w:rsidR="004147D2">
        <w:t>An</w:t>
      </w:r>
      <w:proofErr w:type="gramEnd"/>
      <w:r w:rsidR="004147D2">
        <w:t xml:space="preserve"> Easy Learner. (Jones and Bartlett 1994): pp 356-366.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4</w:t>
      </w:r>
      <w:r w:rsidR="004147D2">
        <w:t xml:space="preserve"> </w:t>
      </w:r>
      <w:r w:rsidR="004147D2">
        <w:rPr>
          <w:color w:val="0000FF"/>
          <w:u w:val="single"/>
        </w:rPr>
        <w:t>American Urological Association “The management of benign prostatic hyperplasia” National Guideline Clearinghouse, www.guideline.gov, accessed 2004.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</w:pPr>
      <w:r>
        <w:rPr>
          <w:rStyle w:val="EndnoteReference"/>
        </w:rPr>
        <w:t>5</w:t>
      </w:r>
      <w:r w:rsidR="004147D2">
        <w:t xml:space="preserve"> J Kiefer and JS Wheeler JS “Benign Prostatic Hyperplasia” In: </w:t>
      </w:r>
      <w:r w:rsidR="004147D2">
        <w:rPr>
          <w:u w:val="single"/>
        </w:rPr>
        <w:t>Conn’s Current Therapy</w:t>
      </w:r>
      <w:r w:rsidR="004147D2">
        <w:t xml:space="preserve">, R </w:t>
      </w:r>
      <w:proofErr w:type="spellStart"/>
      <w:r w:rsidR="004147D2">
        <w:t>Rakel</w:t>
      </w:r>
      <w:proofErr w:type="spellEnd"/>
      <w:r w:rsidR="004147D2">
        <w:t xml:space="preserve"> and E </w:t>
      </w:r>
      <w:proofErr w:type="spellStart"/>
      <w:r w:rsidR="004147D2">
        <w:t>Bope</w:t>
      </w:r>
      <w:proofErr w:type="spellEnd"/>
      <w:r w:rsidR="004147D2">
        <w:t xml:space="preserve">, </w:t>
      </w:r>
      <w:proofErr w:type="spellStart"/>
      <w:r w:rsidR="004147D2">
        <w:t>eds</w:t>
      </w:r>
      <w:proofErr w:type="spellEnd"/>
      <w:r w:rsidR="004147D2">
        <w:t>, Elsevier, Philadelphia, 2004 pp. 740-4.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6</w:t>
      </w:r>
      <w:r w:rsidR="004147D2">
        <w:t xml:space="preserve"> </w:t>
      </w:r>
      <w:r w:rsidR="004147D2">
        <w:rPr>
          <w:color w:val="0000FF"/>
          <w:u w:val="single"/>
        </w:rPr>
        <w:t>“Benign prostatic hyperplasia” Merck Manual of Diagnosis and Therapy, www.merck.com/mrkshared/mmanual/home.jsp, accessed 2004.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</w:pPr>
      <w:r>
        <w:rPr>
          <w:rStyle w:val="EndnoteReference"/>
        </w:rPr>
        <w:t>7</w:t>
      </w:r>
      <w:r w:rsidR="004147D2">
        <w:t xml:space="preserve"> Herbert </w:t>
      </w:r>
      <w:proofErr w:type="spellStart"/>
      <w:r w:rsidR="004147D2">
        <w:t>Lepore</w:t>
      </w:r>
      <w:proofErr w:type="spellEnd"/>
      <w:r w:rsidR="004147D2">
        <w:t>, MD, Franklin C. Lowe, MD. “Chapter 39- Evaluation and Non-Surgical Management of Benign Prostatic Hyperplasia”. In: Campbell’s Urology, 8</w:t>
      </w:r>
      <w:r w:rsidR="004147D2">
        <w:rPr>
          <w:vertAlign w:val="superscript"/>
        </w:rPr>
        <w:t>th</w:t>
      </w:r>
      <w:r w:rsidR="004147D2">
        <w:t xml:space="preserve"> Edition. P. Walsh, </w:t>
      </w:r>
      <w:proofErr w:type="gramStart"/>
      <w:r w:rsidR="004147D2">
        <w:t>Ed ,</w:t>
      </w:r>
      <w:proofErr w:type="gramEnd"/>
      <w:r w:rsidR="004147D2">
        <w:t xml:space="preserve"> (St Louis: </w:t>
      </w:r>
      <w:proofErr w:type="spellStart"/>
      <w:r w:rsidR="004147D2">
        <w:t>W.B.Saunders</w:t>
      </w:r>
      <w:proofErr w:type="spellEnd"/>
      <w:r w:rsidR="004147D2">
        <w:t xml:space="preserve"> Co, 2006) pp 1337-44. 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8</w:t>
      </w:r>
      <w:r w:rsidR="004147D2">
        <w:t xml:space="preserve"> </w:t>
      </w:r>
      <w:hyperlink w:history="1">
        <w:r w:rsidR="004147D2">
          <w:rPr>
            <w:rStyle w:val="Hyperlink"/>
          </w:rPr>
          <w:t xml:space="preserve"> American Cancer Society “Recommendations from the American Cancer Society Workshop on Early Prostate Cancer Detection, May 4-6, 2000 and ACS guideline on testing for early prostate cancer detection: update 2001. In: American Cancer Society guidelines for the early detection of cancer” National Guideline Clearinghouse, www.guideline.gov,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</w:pPr>
      <w:r>
        <w:rPr>
          <w:rStyle w:val="EndnoteReference"/>
        </w:rPr>
        <w:t xml:space="preserve">9 </w:t>
      </w:r>
      <w:r w:rsidR="004147D2">
        <w:t xml:space="preserve">Harris R and </w:t>
      </w:r>
      <w:proofErr w:type="spellStart"/>
      <w:r w:rsidR="004147D2">
        <w:t>Lohr</w:t>
      </w:r>
      <w:proofErr w:type="spellEnd"/>
      <w:r w:rsidR="004147D2">
        <w:t xml:space="preserve"> K “Screening for prostate cancer: an update of the evidence for the U.S. Preventive Services Task Force”, Ann Intern Med 2002</w:t>
      </w:r>
      <w:proofErr w:type="gramStart"/>
      <w:r w:rsidR="004147D2">
        <w:t>;137</w:t>
      </w:r>
      <w:proofErr w:type="gramEnd"/>
      <w:r w:rsidR="004147D2">
        <w:t xml:space="preserve">(11):917-29. 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</w:pPr>
      <w:r>
        <w:rPr>
          <w:rStyle w:val="EndnoteReference"/>
        </w:rPr>
        <w:t>10</w:t>
      </w:r>
      <w:r w:rsidR="004147D2">
        <w:t xml:space="preserve"> U.S. Preventive Services Task Force “Screening for Prostate Cancer: Recommendations and Rationale” Ann Intern Med 2002</w:t>
      </w:r>
      <w:proofErr w:type="gramStart"/>
      <w:r w:rsidR="004147D2">
        <w:t>;137:915</w:t>
      </w:r>
      <w:proofErr w:type="gramEnd"/>
      <w:r w:rsidR="004147D2">
        <w:t>-6.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</w:pPr>
      <w:r>
        <w:rPr>
          <w:rStyle w:val="EndnoteReference"/>
        </w:rPr>
        <w:t>11</w:t>
      </w:r>
      <w:r w:rsidR="004147D2">
        <w:t xml:space="preserve"> Smith RA, et al “American Cancer Society guidelines for the early detection of cancer, 2005” CA Cancer J </w:t>
      </w:r>
      <w:proofErr w:type="spellStart"/>
      <w:r w:rsidR="004147D2">
        <w:t>Clin</w:t>
      </w:r>
      <w:proofErr w:type="spellEnd"/>
      <w:r w:rsidR="004147D2">
        <w:t xml:space="preserve"> 2005</w:t>
      </w:r>
      <w:proofErr w:type="gramStart"/>
      <w:r w:rsidR="004147D2">
        <w:t>;55:31</w:t>
      </w:r>
      <w:proofErr w:type="gramEnd"/>
      <w:r w:rsidR="004147D2">
        <w:t>-44.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</w:pPr>
      <w:r>
        <w:rPr>
          <w:rStyle w:val="EndnoteReference"/>
        </w:rPr>
        <w:t>12</w:t>
      </w:r>
      <w:r w:rsidR="004147D2">
        <w:t xml:space="preserve"> Johns Hopkins Prostate Bulletin. Understanding PSA; hhtp://www.hopkinsprostate.com/prostateLibraries/plProstateCa_psa.html, accessed 2006.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</w:pPr>
      <w:r>
        <w:rPr>
          <w:rStyle w:val="EndnoteReference"/>
        </w:rPr>
        <w:t>13</w:t>
      </w:r>
      <w:r w:rsidR="004147D2">
        <w:t xml:space="preserve"> </w:t>
      </w:r>
      <w:proofErr w:type="spellStart"/>
      <w:r w:rsidR="004147D2">
        <w:t>Uzzo</w:t>
      </w:r>
      <w:proofErr w:type="spellEnd"/>
      <w:r w:rsidR="004147D2">
        <w:t xml:space="preserve"> R, et al “Free prostate-specific antigen improves prostate cancer detection in a high-risk population with a normal total PSA and digital rectal examination.” Urology 2003</w:t>
      </w:r>
      <w:proofErr w:type="gramStart"/>
      <w:r w:rsidR="004147D2">
        <w:t>;61</w:t>
      </w:r>
      <w:proofErr w:type="gramEnd"/>
      <w:r w:rsidR="004147D2">
        <w:t>(4):754-9.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14</w:t>
      </w:r>
      <w:r w:rsidR="004147D2">
        <w:t xml:space="preserve"> </w:t>
      </w:r>
      <w:hyperlink w:history="1">
        <w:r w:rsidR="004147D2">
          <w:rPr>
            <w:rStyle w:val="Hyperlink"/>
          </w:rPr>
          <w:t xml:space="preserve"> “Prostatitis” Merck Manual of Diagnosis and Therapy, chapter 218 .www.merck.com/</w:t>
        </w:r>
        <w:proofErr w:type="spellStart"/>
        <w:r w:rsidR="004147D2">
          <w:rPr>
            <w:rStyle w:val="Hyperlink"/>
          </w:rPr>
          <w:t>mrkshared</w:t>
        </w:r>
        <w:proofErr w:type="spellEnd"/>
        <w:r w:rsidR="004147D2">
          <w:rPr>
            <w:rStyle w:val="Hyperlink"/>
          </w:rPr>
          <w:t>/</w:t>
        </w:r>
        <w:proofErr w:type="spellStart"/>
        <w:r w:rsidR="004147D2">
          <w:rPr>
            <w:rStyle w:val="Hyperlink"/>
          </w:rPr>
          <w:t>mmanual</w:t>
        </w:r>
        <w:proofErr w:type="spellEnd"/>
        <w:r w:rsidR="004147D2">
          <w:rPr>
            <w:rStyle w:val="Hyperlink"/>
          </w:rPr>
          <w:t>/</w:t>
        </w:r>
        <w:proofErr w:type="spellStart"/>
        <w:r w:rsidR="004147D2">
          <w:rPr>
            <w:rStyle w:val="Hyperlink"/>
          </w:rPr>
          <w:t>home.jsp</w:t>
        </w:r>
        <w:proofErr w:type="spellEnd"/>
        <w:r w:rsidR="004147D2">
          <w:rPr>
            <w:rStyle w:val="Hyperlink"/>
          </w:rPr>
          <w:t>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</w:pPr>
      <w:r>
        <w:rPr>
          <w:rStyle w:val="EndnoteReference"/>
        </w:rPr>
        <w:t>15</w:t>
      </w:r>
      <w:r w:rsidR="004147D2">
        <w:t xml:space="preserve"> Cunha BA “Prostatitis” In: </w:t>
      </w:r>
      <w:r w:rsidR="004147D2">
        <w:rPr>
          <w:u w:val="single"/>
        </w:rPr>
        <w:t>Conn’s Current Therapy</w:t>
      </w:r>
      <w:r w:rsidR="004147D2">
        <w:t xml:space="preserve">, R </w:t>
      </w:r>
      <w:proofErr w:type="spellStart"/>
      <w:r w:rsidR="004147D2">
        <w:t>Rakel</w:t>
      </w:r>
      <w:proofErr w:type="spellEnd"/>
      <w:r w:rsidR="004147D2">
        <w:t xml:space="preserve"> and E </w:t>
      </w:r>
      <w:proofErr w:type="spellStart"/>
      <w:r w:rsidR="004147D2">
        <w:t>Bope</w:t>
      </w:r>
      <w:proofErr w:type="spellEnd"/>
      <w:r w:rsidR="004147D2">
        <w:t xml:space="preserve">, </w:t>
      </w:r>
      <w:proofErr w:type="spellStart"/>
      <w:r w:rsidR="004147D2">
        <w:t>eds</w:t>
      </w:r>
      <w:proofErr w:type="spellEnd"/>
      <w:r w:rsidR="004147D2">
        <w:t>, Elsevier, Philadelphia, 2004 pp. 738-40.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16</w:t>
      </w:r>
      <w:r w:rsidR="004147D2">
        <w:t xml:space="preserve"> </w:t>
      </w:r>
      <w:hyperlink w:history="1">
        <w:r w:rsidR="004147D2">
          <w:rPr>
            <w:rStyle w:val="Hyperlink"/>
          </w:rPr>
          <w:t xml:space="preserve"> Association for Genitourinary Medicine “2002 guideline for the management of prostatitis” National Guideline Clearinghouse, www.guideline.gov,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 xml:space="preserve">17 </w:t>
      </w:r>
      <w:hyperlink w:history="1">
        <w:r w:rsidR="004147D2">
          <w:rPr>
            <w:rStyle w:val="Hyperlink"/>
          </w:rPr>
          <w:t xml:space="preserve"> “Prostatic stones and chronic prostatitis” www.prostatitis.org/stones.html,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18</w:t>
      </w:r>
      <w:r w:rsidR="004147D2">
        <w:t xml:space="preserve"> </w:t>
      </w:r>
      <w:hyperlink w:history="1">
        <w:r w:rsidR="004147D2">
          <w:rPr>
            <w:rStyle w:val="Hyperlink"/>
          </w:rPr>
          <w:t xml:space="preserve"> Werner SL “Prostate nodule” www.wmfurology.com/pcaprost_nodule.htm,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19</w:t>
      </w:r>
      <w:r w:rsidR="004147D2">
        <w:t xml:space="preserve"> </w:t>
      </w:r>
      <w:hyperlink r:id="rId8" w:history="1">
        <w:r w:rsidR="004147D2">
          <w:rPr>
            <w:rStyle w:val="Hyperlink"/>
          </w:rPr>
          <w:t xml:space="preserve"> “Testicular cancer” Merck Manual of Diagnosis and Therapy, www.merck.com/mrkshared/mmanual/home.jsp,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20</w:t>
      </w:r>
      <w:r w:rsidR="004147D2">
        <w:t xml:space="preserve"> </w:t>
      </w:r>
      <w:hyperlink r:id="rId9" w:history="1">
        <w:r w:rsidR="004147D2">
          <w:rPr>
            <w:rStyle w:val="Hyperlink"/>
          </w:rPr>
          <w:t xml:space="preserve"> National Cancer Institute “Testicular cancer (PDQ): Treatment, Health Professional Version” www.cancer.gov,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</w:pPr>
      <w:r>
        <w:rPr>
          <w:rStyle w:val="EndnoteReference"/>
        </w:rPr>
        <w:t>21</w:t>
      </w:r>
      <w:r w:rsidR="004147D2">
        <w:t xml:space="preserve"> Von </w:t>
      </w:r>
      <w:proofErr w:type="spellStart"/>
      <w:r w:rsidR="004147D2">
        <w:t>Eyben</w:t>
      </w:r>
      <w:proofErr w:type="spellEnd"/>
      <w:r w:rsidR="004147D2">
        <w:t xml:space="preserve"> F “Laboratory markers and germ cell tumors” </w:t>
      </w:r>
      <w:proofErr w:type="spellStart"/>
      <w:r w:rsidR="004147D2">
        <w:t>Crit</w:t>
      </w:r>
      <w:proofErr w:type="spellEnd"/>
      <w:r w:rsidR="004147D2">
        <w:t xml:space="preserve"> Rev </w:t>
      </w:r>
      <w:proofErr w:type="spellStart"/>
      <w:r w:rsidR="004147D2">
        <w:t>Clin</w:t>
      </w:r>
      <w:proofErr w:type="spellEnd"/>
      <w:r w:rsidR="004147D2">
        <w:t xml:space="preserve"> Lab </w:t>
      </w:r>
      <w:proofErr w:type="spellStart"/>
      <w:r w:rsidR="004147D2">
        <w:t>Sci</w:t>
      </w:r>
      <w:proofErr w:type="spellEnd"/>
      <w:r w:rsidR="004147D2">
        <w:t xml:space="preserve"> 2003; 40(4):377-427.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</w:pPr>
      <w:r>
        <w:rPr>
          <w:rStyle w:val="EndnoteReference"/>
        </w:rPr>
        <w:t>22</w:t>
      </w:r>
      <w:r w:rsidR="004147D2">
        <w:t xml:space="preserve"> Van </w:t>
      </w:r>
      <w:proofErr w:type="spellStart"/>
      <w:r w:rsidR="004147D2">
        <w:t>Dijk</w:t>
      </w:r>
      <w:proofErr w:type="spellEnd"/>
      <w:r w:rsidR="004147D2">
        <w:t xml:space="preserve"> M, et al “Survival of patients with </w:t>
      </w:r>
      <w:proofErr w:type="spellStart"/>
      <w:r w:rsidR="004147D2">
        <w:t>nonseminomatous</w:t>
      </w:r>
      <w:proofErr w:type="spellEnd"/>
      <w:r w:rsidR="004147D2">
        <w:t xml:space="preserve"> germ cell cancer: a review of the IGCC classification by Cox regression and recursive partitioning” Br J Cancer 2004; 90(6):1176-83.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</w:pPr>
      <w:r>
        <w:rPr>
          <w:rStyle w:val="EndnoteReference"/>
        </w:rPr>
        <w:t xml:space="preserve">23 </w:t>
      </w:r>
      <w:r w:rsidR="004147D2">
        <w:t xml:space="preserve">May M, et al “Diagnostic value of </w:t>
      </w:r>
      <w:proofErr w:type="spellStart"/>
      <w:r w:rsidR="004147D2">
        <w:t>tumour</w:t>
      </w:r>
      <w:proofErr w:type="spellEnd"/>
      <w:r w:rsidR="004147D2">
        <w:t xml:space="preserve"> marker regression models in stage 1 marker-positive testicular cancer” </w:t>
      </w:r>
      <w:proofErr w:type="spellStart"/>
      <w:r w:rsidR="004147D2">
        <w:t>Urol</w:t>
      </w:r>
      <w:proofErr w:type="spellEnd"/>
      <w:r w:rsidR="004147D2">
        <w:t xml:space="preserve"> </w:t>
      </w:r>
      <w:proofErr w:type="spellStart"/>
      <w:r w:rsidR="004147D2">
        <w:t>Int</w:t>
      </w:r>
      <w:proofErr w:type="spellEnd"/>
      <w:r w:rsidR="004147D2">
        <w:t xml:space="preserve"> 2004</w:t>
      </w:r>
      <w:proofErr w:type="gramStart"/>
      <w:r w:rsidR="004147D2">
        <w:t>;73</w:t>
      </w:r>
      <w:proofErr w:type="gramEnd"/>
      <w:r w:rsidR="004147D2">
        <w:t>(4):329-36.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</w:pPr>
      <w:r>
        <w:rPr>
          <w:rStyle w:val="EndnoteReference"/>
        </w:rPr>
        <w:t>24</w:t>
      </w:r>
      <w:r w:rsidR="004147D2">
        <w:t xml:space="preserve"> E.J. Small, J. Garcia, </w:t>
      </w:r>
      <w:proofErr w:type="spellStart"/>
      <w:r w:rsidR="004147D2">
        <w:t>Ftorti</w:t>
      </w:r>
      <w:proofErr w:type="spellEnd"/>
      <w:r w:rsidR="004147D2">
        <w:t>. “Chapter 89 – Testicular Cancer.” In: Clinical Oncology, 3</w:t>
      </w:r>
      <w:r w:rsidR="004147D2">
        <w:rPr>
          <w:vertAlign w:val="superscript"/>
        </w:rPr>
        <w:t>rd</w:t>
      </w:r>
      <w:r w:rsidR="004147D2">
        <w:t xml:space="preserve"> Edition. M. </w:t>
      </w:r>
      <w:proofErr w:type="spellStart"/>
      <w:r w:rsidR="004147D2">
        <w:t>Abeloff</w:t>
      </w:r>
      <w:proofErr w:type="spellEnd"/>
      <w:r w:rsidR="004147D2">
        <w:t>, et al. Eds. (Churchill Livingstone, Orlando, 2004) pp 2177-2198.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25</w:t>
      </w:r>
      <w:r w:rsidR="004147D2">
        <w:t xml:space="preserve"> </w:t>
      </w:r>
      <w:hyperlink w:history="1">
        <w:r w:rsidRPr="007F1B8D">
          <w:rPr>
            <w:rStyle w:val="Hyperlink"/>
          </w:rPr>
          <w:t>Association for Genitourinary Medicine “2002 national guideline for the management of epididymo-orchitis” National Guideline Clearinghouse, www.guideline.gov,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</w:pPr>
      <w:r>
        <w:rPr>
          <w:rStyle w:val="EndnoteReference"/>
        </w:rPr>
        <w:t>26</w:t>
      </w:r>
      <w:r w:rsidR="004147D2">
        <w:t xml:space="preserve"> “Testicular failure” </w:t>
      </w:r>
      <w:r w:rsidR="004147D2">
        <w:rPr>
          <w:u w:val="single"/>
        </w:rPr>
        <w:t>Mayo Clinic Family Health Book</w:t>
      </w:r>
      <w:r w:rsidR="004147D2">
        <w:t>, D Larson, ed., William Morrow and Co., New York, 1990, pp 1114-5.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  <w:rPr>
          <w:rStyle w:val="Hyperlink"/>
        </w:rPr>
      </w:pPr>
      <w:r>
        <w:rPr>
          <w:rStyle w:val="EndnoteReference"/>
        </w:rPr>
        <w:t>27</w:t>
      </w:r>
      <w:r w:rsidR="004147D2">
        <w:t xml:space="preserve"> “Disorders of the Scrotum.”</w:t>
      </w:r>
      <w:r w:rsidR="004147D2">
        <w:rPr>
          <w:rStyle w:val="Hyperlink"/>
        </w:rPr>
        <w:t xml:space="preserve"> Merck Manual of Diagnosis and Therapy, www.merck.com/mrkshared/mmanual/home.jsp, accessed 2006.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</w:pPr>
      <w:r>
        <w:rPr>
          <w:rStyle w:val="EndnoteReference"/>
        </w:rPr>
        <w:t>28</w:t>
      </w:r>
      <w:r w:rsidR="004147D2">
        <w:t xml:space="preserve"> Kim ED “Erectile dysfunction” In: </w:t>
      </w:r>
      <w:r w:rsidR="004147D2">
        <w:rPr>
          <w:u w:val="single"/>
        </w:rPr>
        <w:t>Conn’s Current Therapy</w:t>
      </w:r>
      <w:r w:rsidR="004147D2">
        <w:t xml:space="preserve">, R </w:t>
      </w:r>
      <w:proofErr w:type="spellStart"/>
      <w:r w:rsidR="004147D2">
        <w:t>Rakel</w:t>
      </w:r>
      <w:proofErr w:type="spellEnd"/>
      <w:r w:rsidR="004147D2">
        <w:t xml:space="preserve"> and E </w:t>
      </w:r>
      <w:proofErr w:type="spellStart"/>
      <w:r w:rsidR="004147D2">
        <w:t>Bope</w:t>
      </w:r>
      <w:proofErr w:type="spellEnd"/>
      <w:r w:rsidR="004147D2">
        <w:t xml:space="preserve">, </w:t>
      </w:r>
      <w:proofErr w:type="spellStart"/>
      <w:r w:rsidR="004147D2">
        <w:t>eds</w:t>
      </w:r>
      <w:proofErr w:type="spellEnd"/>
      <w:r w:rsidR="004147D2">
        <w:t>, Elsevier, Philadelphia, 2004 pp. 744-7.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</w:pPr>
      <w:r>
        <w:rPr>
          <w:rStyle w:val="EndnoteReference"/>
        </w:rPr>
        <w:t>29</w:t>
      </w:r>
      <w:r w:rsidR="004147D2">
        <w:t xml:space="preserve"> </w:t>
      </w:r>
      <w:proofErr w:type="spellStart"/>
      <w:r w:rsidR="004147D2">
        <w:t>Kloner</w:t>
      </w:r>
      <w:proofErr w:type="spellEnd"/>
      <w:r w:rsidR="004147D2">
        <w:t xml:space="preserve"> R “Cardiovascular risk and sildenafil” Am J </w:t>
      </w:r>
      <w:proofErr w:type="spellStart"/>
      <w:r w:rsidR="004147D2">
        <w:t>Cardiol</w:t>
      </w:r>
      <w:proofErr w:type="spellEnd"/>
      <w:r w:rsidR="004147D2">
        <w:t xml:space="preserve"> 2000</w:t>
      </w:r>
      <w:proofErr w:type="gramStart"/>
      <w:r w:rsidR="004147D2">
        <w:t>;86</w:t>
      </w:r>
      <w:proofErr w:type="gramEnd"/>
      <w:r w:rsidR="004147D2">
        <w:t>(2A): 57F-61F.</w:t>
      </w:r>
    </w:p>
    <w:p w:rsidR="004147D2" w:rsidRDefault="004147D2" w:rsidP="004147D2">
      <w:pPr>
        <w:pStyle w:val="EndnoteText"/>
      </w:pPr>
    </w:p>
    <w:p w:rsidR="004147D2" w:rsidRDefault="002358AC" w:rsidP="004147D2">
      <w:pPr>
        <w:pStyle w:val="EndnoteText"/>
      </w:pPr>
      <w:r>
        <w:rPr>
          <w:rStyle w:val="EndnoteReference"/>
        </w:rPr>
        <w:t>30</w:t>
      </w:r>
      <w:r w:rsidR="004147D2">
        <w:t xml:space="preserve"> Pickering T, et al “Sildenafil citrate for erectile dysfunction in men receiving multiple hypertensive agents: a randomized controlled trial” Am J </w:t>
      </w:r>
      <w:proofErr w:type="spellStart"/>
      <w:r w:rsidR="004147D2">
        <w:t>Hypertens</w:t>
      </w:r>
      <w:proofErr w:type="spellEnd"/>
      <w:r w:rsidR="004147D2">
        <w:t xml:space="preserve"> 2004; 17 (12 Pt. 1):1135-42.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</w:pPr>
      <w:r>
        <w:rPr>
          <w:rStyle w:val="EndnoteReference"/>
        </w:rPr>
        <w:t>31</w:t>
      </w:r>
      <w:r w:rsidR="004147D2">
        <w:t xml:space="preserve"> </w:t>
      </w:r>
      <w:proofErr w:type="spellStart"/>
      <w:r w:rsidR="004147D2">
        <w:t>Brindis</w:t>
      </w:r>
      <w:proofErr w:type="spellEnd"/>
      <w:r w:rsidR="004147D2">
        <w:t xml:space="preserve"> R and R </w:t>
      </w:r>
      <w:proofErr w:type="spellStart"/>
      <w:r w:rsidR="004147D2">
        <w:t>Kloner</w:t>
      </w:r>
      <w:proofErr w:type="spellEnd"/>
      <w:r w:rsidR="004147D2">
        <w:t xml:space="preserve"> “Sildenafil in patients with cardiovascular disease” Am J </w:t>
      </w:r>
      <w:proofErr w:type="spellStart"/>
      <w:r w:rsidR="004147D2">
        <w:t>Cardiol</w:t>
      </w:r>
      <w:proofErr w:type="spellEnd"/>
      <w:r w:rsidR="004147D2">
        <w:t xml:space="preserve"> 2003</w:t>
      </w:r>
      <w:proofErr w:type="gramStart"/>
      <w:r w:rsidR="004147D2">
        <w:t>;92</w:t>
      </w:r>
      <w:proofErr w:type="gramEnd"/>
      <w:r w:rsidR="004147D2">
        <w:t>(9A):26M-36M.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32</w:t>
      </w:r>
      <w:r w:rsidR="004147D2">
        <w:t xml:space="preserve"> </w:t>
      </w:r>
      <w:hyperlink w:history="1">
        <w:r w:rsidR="004147D2">
          <w:rPr>
            <w:rStyle w:val="Hyperlink"/>
          </w:rPr>
          <w:t xml:space="preserve"> “Benign breast disorders” Merck Manual of Diagnosis and Therapy, www.merck.com/mrkshared/mmanual/home.jsp,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33</w:t>
      </w:r>
      <w:hyperlink r:id="rId10" w:history="1">
        <w:r w:rsidR="004147D2">
          <w:rPr>
            <w:rStyle w:val="Hyperlink"/>
          </w:rPr>
          <w:t xml:space="preserve"> “Paget’s Disease” Merck Manual of Diagnosis and Therapy, www.merck.com/mrkshared/mmanual/home.jsp,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34</w:t>
      </w:r>
      <w:r w:rsidR="004147D2">
        <w:t xml:space="preserve"> </w:t>
      </w:r>
      <w:hyperlink r:id="rId11" w:history="1">
        <w:r w:rsidR="004147D2">
          <w:rPr>
            <w:rStyle w:val="Hyperlink"/>
          </w:rPr>
          <w:t xml:space="preserve"> “Endometriosis” Merck Manual of Diagnosis and Therapy, www.merck.com/mrkshared/mmanual/home.jsp,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</w:pPr>
      <w:r>
        <w:rPr>
          <w:rStyle w:val="EndnoteReference"/>
        </w:rPr>
        <w:t>35</w:t>
      </w:r>
      <w:r w:rsidR="004147D2">
        <w:t xml:space="preserve"> Johnson JV “Endometriosis” In: </w:t>
      </w:r>
      <w:r w:rsidR="004147D2">
        <w:rPr>
          <w:u w:val="single"/>
        </w:rPr>
        <w:t>Conn’s Current Therapy</w:t>
      </w:r>
      <w:r w:rsidR="004147D2">
        <w:t xml:space="preserve">, R </w:t>
      </w:r>
      <w:proofErr w:type="spellStart"/>
      <w:r w:rsidR="004147D2">
        <w:t>Rakel</w:t>
      </w:r>
      <w:proofErr w:type="spellEnd"/>
      <w:r w:rsidR="004147D2">
        <w:t xml:space="preserve"> and E </w:t>
      </w:r>
      <w:proofErr w:type="spellStart"/>
      <w:r w:rsidR="004147D2">
        <w:t>Bope</w:t>
      </w:r>
      <w:proofErr w:type="spellEnd"/>
      <w:r w:rsidR="004147D2">
        <w:t xml:space="preserve">, </w:t>
      </w:r>
      <w:proofErr w:type="spellStart"/>
      <w:r w:rsidR="004147D2">
        <w:t>eds</w:t>
      </w:r>
      <w:proofErr w:type="spellEnd"/>
      <w:r w:rsidR="004147D2">
        <w:t>, Elsevier, Philadelphia, 2004 pp. 1099-1103.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36</w:t>
      </w:r>
      <w:r w:rsidR="004147D2">
        <w:t xml:space="preserve"> </w:t>
      </w:r>
      <w:hyperlink r:id="rId12" w:history="1">
        <w:r w:rsidR="004147D2">
          <w:rPr>
            <w:rStyle w:val="Hyperlink"/>
          </w:rPr>
          <w:t>“Abnormal uterine bleeding” Merck Manual of Diagnosis and Therapy, www.merck.com/mrkshared/mmanual/home.jsp,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</w:pPr>
      <w:r>
        <w:rPr>
          <w:rStyle w:val="EndnoteReference"/>
        </w:rPr>
        <w:t>37</w:t>
      </w:r>
      <w:r w:rsidR="004147D2">
        <w:t xml:space="preserve"> Friedman CI “Dysfunctional uterine bleeding” In: </w:t>
      </w:r>
      <w:r w:rsidR="004147D2">
        <w:rPr>
          <w:u w:val="single"/>
        </w:rPr>
        <w:t>Conn’s Current Therapy</w:t>
      </w:r>
      <w:r w:rsidR="004147D2">
        <w:t xml:space="preserve">, R </w:t>
      </w:r>
      <w:proofErr w:type="spellStart"/>
      <w:r w:rsidR="004147D2">
        <w:t>Rakel</w:t>
      </w:r>
      <w:proofErr w:type="spellEnd"/>
      <w:r w:rsidR="004147D2">
        <w:t xml:space="preserve"> and E </w:t>
      </w:r>
      <w:proofErr w:type="spellStart"/>
      <w:r w:rsidR="004147D2">
        <w:t>Bope</w:t>
      </w:r>
      <w:proofErr w:type="spellEnd"/>
      <w:r w:rsidR="004147D2">
        <w:t xml:space="preserve">, </w:t>
      </w:r>
      <w:proofErr w:type="spellStart"/>
      <w:r w:rsidR="004147D2">
        <w:t>eds</w:t>
      </w:r>
      <w:proofErr w:type="spellEnd"/>
      <w:r w:rsidR="004147D2">
        <w:t>, Elsevier, Philadelphia, 2004 pp. 1103-5.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</w:pPr>
      <w:r>
        <w:rPr>
          <w:rStyle w:val="EndnoteReference"/>
        </w:rPr>
        <w:t xml:space="preserve">38 </w:t>
      </w:r>
      <w:r w:rsidR="004147D2">
        <w:t xml:space="preserve">“Dysfunctional Uterine Bleeding” Merck Manual of Diagnosis and Therapy. </w:t>
      </w:r>
      <w:hyperlink r:id="rId13" w:history="1">
        <w:r w:rsidR="004147D2" w:rsidRPr="007D27ED">
          <w:rPr>
            <w:rStyle w:val="Hyperlink"/>
          </w:rPr>
          <w:t>www.merck.com/mrkshared/CVMHighlight?filed=mrkshared/mmanual/section18/chapter235</w:t>
        </w:r>
      </w:hyperlink>
      <w:r w:rsidR="004147D2"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</w:pPr>
      <w:r>
        <w:rPr>
          <w:rStyle w:val="EndnoteReference"/>
        </w:rPr>
        <w:t>39</w:t>
      </w:r>
      <w:r w:rsidR="004147D2">
        <w:t xml:space="preserve"> </w:t>
      </w:r>
      <w:proofErr w:type="spellStart"/>
      <w:r w:rsidR="004147D2">
        <w:t>Moutos</w:t>
      </w:r>
      <w:proofErr w:type="spellEnd"/>
      <w:r w:rsidR="004147D2">
        <w:t xml:space="preserve"> D “Amenorrhea” In: </w:t>
      </w:r>
      <w:r w:rsidR="004147D2">
        <w:rPr>
          <w:u w:val="single"/>
        </w:rPr>
        <w:t>Conn’s Current Therapy</w:t>
      </w:r>
      <w:r w:rsidR="004147D2">
        <w:t xml:space="preserve">, R </w:t>
      </w:r>
      <w:proofErr w:type="spellStart"/>
      <w:r w:rsidR="004147D2">
        <w:t>Rakel</w:t>
      </w:r>
      <w:proofErr w:type="spellEnd"/>
      <w:r w:rsidR="004147D2">
        <w:t xml:space="preserve"> and E </w:t>
      </w:r>
      <w:proofErr w:type="spellStart"/>
      <w:r w:rsidR="004147D2">
        <w:t>Bope</w:t>
      </w:r>
      <w:proofErr w:type="spellEnd"/>
      <w:r w:rsidR="004147D2">
        <w:t xml:space="preserve">, </w:t>
      </w:r>
      <w:proofErr w:type="spellStart"/>
      <w:proofErr w:type="gramStart"/>
      <w:r w:rsidR="004147D2">
        <w:t>eds</w:t>
      </w:r>
      <w:proofErr w:type="spellEnd"/>
      <w:proofErr w:type="gramEnd"/>
      <w:r w:rsidR="004147D2">
        <w:t>, (Elsevier, Philadelphia, 2004) pp. 1105-8.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40</w:t>
      </w:r>
      <w:r w:rsidR="004147D2">
        <w:t xml:space="preserve"> </w:t>
      </w:r>
      <w:hyperlink r:id="rId14" w:history="1">
        <w:r w:rsidR="004147D2">
          <w:rPr>
            <w:rStyle w:val="Hyperlink"/>
          </w:rPr>
          <w:t xml:space="preserve"> Centers for Disease Control and Prevention “Pelvic inflammatory disease. Sexually transmitted diseases treatment guidelines 2002” National Guideline Clearinghouse, www.guideline.gov,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41</w:t>
      </w:r>
      <w:r w:rsidR="004147D2">
        <w:t xml:space="preserve"> </w:t>
      </w:r>
      <w:hyperlink w:history="1">
        <w:r w:rsidR="004147D2">
          <w:rPr>
            <w:rStyle w:val="Hyperlink"/>
          </w:rPr>
          <w:t xml:space="preserve"> “Pelvic inflammatory disease” Merck Manual of Diagnosis and Therapy, www.merck.com/mrkshared/mmanual/home.jsp,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42</w:t>
      </w:r>
      <w:r w:rsidR="004147D2">
        <w:t xml:space="preserve"> </w:t>
      </w:r>
      <w:hyperlink r:id="rId15" w:history="1">
        <w:r w:rsidR="004147D2">
          <w:rPr>
            <w:rStyle w:val="Hyperlink"/>
          </w:rPr>
          <w:t xml:space="preserve"> New Zealand Guidelines Group “Guidelines for the management of uterine fibroids” ” National Guideline Clearinghouse, www.guideline.gov,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</w:pPr>
      <w:r>
        <w:rPr>
          <w:rStyle w:val="EndnoteReference"/>
        </w:rPr>
        <w:t>43</w:t>
      </w:r>
      <w:r w:rsidR="004147D2">
        <w:t xml:space="preserve"> </w:t>
      </w:r>
      <w:proofErr w:type="spellStart"/>
      <w:r w:rsidR="004147D2">
        <w:t>Carr</w:t>
      </w:r>
      <w:proofErr w:type="spellEnd"/>
      <w:r w:rsidR="004147D2">
        <w:t xml:space="preserve"> BR and Haas DA “</w:t>
      </w:r>
      <w:proofErr w:type="spellStart"/>
      <w:r w:rsidR="004147D2">
        <w:t>Leiomyomas</w:t>
      </w:r>
      <w:proofErr w:type="spellEnd"/>
      <w:r w:rsidR="004147D2">
        <w:t xml:space="preserve">” In: </w:t>
      </w:r>
      <w:r w:rsidR="004147D2">
        <w:rPr>
          <w:u w:val="single"/>
        </w:rPr>
        <w:t>Conn’s Current Therapy</w:t>
      </w:r>
      <w:r w:rsidR="004147D2">
        <w:t xml:space="preserve">, R </w:t>
      </w:r>
      <w:proofErr w:type="spellStart"/>
      <w:r w:rsidR="004147D2">
        <w:t>Rakel</w:t>
      </w:r>
      <w:proofErr w:type="spellEnd"/>
      <w:r w:rsidR="004147D2">
        <w:t xml:space="preserve"> and E </w:t>
      </w:r>
      <w:proofErr w:type="spellStart"/>
      <w:r w:rsidR="004147D2">
        <w:t>Bope</w:t>
      </w:r>
      <w:proofErr w:type="spellEnd"/>
      <w:r w:rsidR="004147D2">
        <w:t xml:space="preserve">, </w:t>
      </w:r>
      <w:proofErr w:type="spellStart"/>
      <w:proofErr w:type="gramStart"/>
      <w:r w:rsidR="004147D2">
        <w:t>eds</w:t>
      </w:r>
      <w:proofErr w:type="spellEnd"/>
      <w:proofErr w:type="gramEnd"/>
      <w:r w:rsidR="004147D2">
        <w:t>, (Elsevier, Philadelphia, 2004) pp. 1125-6.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44</w:t>
      </w:r>
      <w:r w:rsidR="004147D2">
        <w:t xml:space="preserve"> </w:t>
      </w:r>
      <w:hyperlink w:history="1">
        <w:r w:rsidR="004147D2">
          <w:rPr>
            <w:rStyle w:val="Hyperlink"/>
          </w:rPr>
          <w:t xml:space="preserve"> National Cancer Institute “Endometrial cancer (PDQ): Treatment, Health Professional Version” www.cancer.gov,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45</w:t>
      </w:r>
      <w:r w:rsidR="004147D2">
        <w:t xml:space="preserve"> </w:t>
      </w:r>
      <w:hyperlink w:history="1">
        <w:r w:rsidR="004147D2">
          <w:rPr>
            <w:rStyle w:val="Hyperlink"/>
          </w:rPr>
          <w:t xml:space="preserve"> American Cancer Society “American Cancer Society guidelines on testing for early endometrial cancer detection – update 2001” National Guideline Clearinghouse, www.guideline.gov,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46</w:t>
      </w:r>
      <w:r w:rsidR="004147D2">
        <w:t xml:space="preserve"> </w:t>
      </w:r>
      <w:hyperlink r:id="rId16" w:history="1">
        <w:r w:rsidR="004147D2">
          <w:rPr>
            <w:rStyle w:val="Hyperlink"/>
          </w:rPr>
          <w:t xml:space="preserve"> “Endometrial cancer” Merck Manual of Diagnosis and Therapy, www.merck.com/mrkshared/mmanual/home.jsp,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</w:pPr>
      <w:r>
        <w:rPr>
          <w:rStyle w:val="EndnoteReference"/>
        </w:rPr>
        <w:t>47</w:t>
      </w:r>
      <w:r w:rsidR="004147D2">
        <w:t xml:space="preserve"> Lee-may Chen, MD, </w:t>
      </w:r>
      <w:proofErr w:type="spellStart"/>
      <w:r w:rsidR="004147D2">
        <w:t>Jonathen</w:t>
      </w:r>
      <w:proofErr w:type="spellEnd"/>
      <w:r w:rsidR="004147D2">
        <w:t xml:space="preserve"> S. </w:t>
      </w:r>
      <w:proofErr w:type="spellStart"/>
      <w:r w:rsidR="004147D2">
        <w:t>Berek</w:t>
      </w:r>
      <w:proofErr w:type="spellEnd"/>
      <w:r w:rsidR="004147D2">
        <w:t xml:space="preserve">, MD. “Clinical features and diagnosis of </w:t>
      </w:r>
      <w:proofErr w:type="spellStart"/>
      <w:r w:rsidR="004147D2">
        <w:t>endometrisal</w:t>
      </w:r>
      <w:proofErr w:type="spellEnd"/>
      <w:r w:rsidR="004147D2">
        <w:t xml:space="preserve"> hyperplasia”. </w:t>
      </w:r>
      <w:hyperlink r:id="rId17" w:history="1">
        <w:r w:rsidR="004147D2">
          <w:rPr>
            <w:rStyle w:val="Hyperlink"/>
          </w:rPr>
          <w:t>www.utdol.com/application/topic/topicText.asp?file=gyne_onc/9015</w:t>
        </w:r>
      </w:hyperlink>
      <w:r w:rsidR="004147D2">
        <w:t xml:space="preserve">. </w:t>
      </w:r>
      <w:proofErr w:type="gramStart"/>
      <w:r w:rsidR="004147D2">
        <w:t>pp1-2</w:t>
      </w:r>
      <w:proofErr w:type="gramEnd"/>
      <w:r w:rsidR="004147D2">
        <w:t xml:space="preserve"> of 11, accessed 2006.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</w:pPr>
      <w:r>
        <w:rPr>
          <w:rStyle w:val="EndnoteReference"/>
        </w:rPr>
        <w:t>48</w:t>
      </w:r>
      <w:r w:rsidR="004147D2">
        <w:t xml:space="preserve">  Hervey E. </w:t>
      </w:r>
      <w:proofErr w:type="spellStart"/>
      <w:r w:rsidR="004147D2">
        <w:t>Averette</w:t>
      </w:r>
      <w:proofErr w:type="spellEnd"/>
      <w:r w:rsidR="004147D2">
        <w:t xml:space="preserve">, MD, </w:t>
      </w:r>
      <w:proofErr w:type="spellStart"/>
      <w:r w:rsidR="004147D2">
        <w:t>Hoa</w:t>
      </w:r>
      <w:proofErr w:type="spellEnd"/>
      <w:r w:rsidR="004147D2">
        <w:t xml:space="preserve"> Nguyen, MD. “Chapter 33-Gynecologic Cancer”. In: American Cancer Society Textbook of Clinical Oncology, 2</w:t>
      </w:r>
      <w:r w:rsidR="004147D2">
        <w:rPr>
          <w:vertAlign w:val="superscript"/>
        </w:rPr>
        <w:t>nd</w:t>
      </w:r>
      <w:r w:rsidR="004147D2">
        <w:t xml:space="preserve"> Edition. GP Murphy, W. Lawrence, RE </w:t>
      </w:r>
      <w:proofErr w:type="spellStart"/>
      <w:r w:rsidR="004147D2">
        <w:t>Lenhard</w:t>
      </w:r>
      <w:proofErr w:type="spellEnd"/>
      <w:r w:rsidR="004147D2">
        <w:t xml:space="preserve">, Eds. (American Cancer </w:t>
      </w:r>
      <w:proofErr w:type="spellStart"/>
      <w:r w:rsidR="004147D2">
        <w:t>Society</w:t>
      </w:r>
      <w:proofErr w:type="gramStart"/>
      <w:r w:rsidR="004147D2">
        <w:t>,Inc</w:t>
      </w:r>
      <w:proofErr w:type="spellEnd"/>
      <w:proofErr w:type="gramEnd"/>
      <w:r w:rsidR="004147D2">
        <w:t>, Atlanta, 1995) pp556-560.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49</w:t>
      </w:r>
      <w:r w:rsidR="004147D2">
        <w:t xml:space="preserve"> </w:t>
      </w:r>
      <w:hyperlink w:history="1">
        <w:r w:rsidR="004147D2">
          <w:rPr>
            <w:rStyle w:val="Hyperlink"/>
          </w:rPr>
          <w:t xml:space="preserve"> National Cancer Institute “Ovarian epithelial cancer (PDQ): Treatment, Health Professional Version” www.cancer.gov,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50</w:t>
      </w:r>
      <w:r w:rsidR="004147D2">
        <w:t xml:space="preserve"> </w:t>
      </w:r>
      <w:hyperlink r:id="rId18" w:history="1">
        <w:r w:rsidR="004147D2">
          <w:rPr>
            <w:rStyle w:val="Hyperlink"/>
          </w:rPr>
          <w:t xml:space="preserve"> National Cancer Institute “Ovarian germ cell cancer (PDQ): Treatment, Health Professional Version” www.cancer.gov,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51</w:t>
      </w:r>
      <w:r w:rsidR="004147D2">
        <w:t xml:space="preserve"> </w:t>
      </w:r>
      <w:hyperlink w:history="1">
        <w:r w:rsidR="004147D2">
          <w:rPr>
            <w:rStyle w:val="Hyperlink"/>
          </w:rPr>
          <w:t xml:space="preserve"> National Cancer Institute “Ovarian low malignant potential cancer (PDQ): Treatment, Health Professional Version” www.cancer.gov,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52</w:t>
      </w:r>
      <w:r w:rsidR="004147D2">
        <w:t xml:space="preserve"> </w:t>
      </w:r>
      <w:hyperlink r:id="rId19" w:history="1">
        <w:r w:rsidR="004147D2">
          <w:rPr>
            <w:rStyle w:val="Hyperlink"/>
          </w:rPr>
          <w:t xml:space="preserve"> National Cancer Institute “What you need to know about ovarian cancer” www.cancer.gov,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53</w:t>
      </w:r>
      <w:r w:rsidR="004147D2">
        <w:t xml:space="preserve"> </w:t>
      </w:r>
      <w:hyperlink w:history="1">
        <w:r w:rsidR="004147D2">
          <w:rPr>
            <w:rStyle w:val="Hyperlink"/>
          </w:rPr>
          <w:t xml:space="preserve"> U.S. Preventive Services Task Force “Screening for ovarian cancer: recommendation statement” National Guideline Clearinghouse, www.guideline.gov,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54</w:t>
      </w:r>
      <w:r w:rsidR="004147D2">
        <w:t xml:space="preserve"> </w:t>
      </w:r>
      <w:hyperlink w:history="1">
        <w:r w:rsidR="004147D2">
          <w:rPr>
            <w:rStyle w:val="Hyperlink"/>
          </w:rPr>
          <w:t xml:space="preserve"> “Ovarian cancer” Merck Manual of Diagnosis and Therapy, www.merck.com/mrkshared/mmanual/home.jsp,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55</w:t>
      </w:r>
      <w:r w:rsidR="004147D2">
        <w:t xml:space="preserve"> </w:t>
      </w:r>
      <w:hyperlink r:id="rId20" w:history="1">
        <w:r w:rsidR="004147D2">
          <w:rPr>
            <w:rStyle w:val="Hyperlink"/>
          </w:rPr>
          <w:t xml:space="preserve"> National Cancer Institute “Cervical cancer (PDQ): Treatment, Health Professional Version” www.cancer.gov,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56</w:t>
      </w:r>
      <w:hyperlink r:id="rId21" w:history="1">
        <w:r w:rsidR="004147D2">
          <w:rPr>
            <w:rStyle w:val="Hyperlink"/>
          </w:rPr>
          <w:t xml:space="preserve"> “Cervical cancer” Merck Manual of Diagnosis and Therapy, www.merck.com/mrkshared/mmanual/home.jsp,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57</w:t>
      </w:r>
      <w:r w:rsidR="004147D2">
        <w:t xml:space="preserve"> </w:t>
      </w:r>
      <w:hyperlink r:id="rId22" w:history="1">
        <w:r w:rsidR="004147D2">
          <w:rPr>
            <w:rStyle w:val="Hyperlink"/>
          </w:rPr>
          <w:t xml:space="preserve"> “Vulvar cancer” Merck Manual of Diagnosis and Therapy, www.merck.com/mrkshared/mmanual/home.jsp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lastRenderedPageBreak/>
        <w:t>58</w:t>
      </w:r>
      <w:r w:rsidR="004147D2">
        <w:t xml:space="preserve"> </w:t>
      </w:r>
      <w:hyperlink w:history="1">
        <w:r w:rsidR="004147D2">
          <w:rPr>
            <w:rStyle w:val="Hyperlink"/>
          </w:rPr>
          <w:t xml:space="preserve"> “Vaginal cancer” Merck Manual of Diagnosis and Therapy, www.merck.com/mrkshared/mmanual/home.jsp,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59</w:t>
      </w:r>
      <w:r w:rsidR="004147D2">
        <w:t xml:space="preserve"> </w:t>
      </w:r>
      <w:hyperlink r:id="rId23" w:history="1">
        <w:r w:rsidR="004147D2">
          <w:rPr>
            <w:rStyle w:val="Hyperlink"/>
          </w:rPr>
          <w:t xml:space="preserve"> “High-risk pregnancy” Merck Manual of Diagnosis and Therapy, www.merck.com/mrkshared/mmanual/home.jsp,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</w:pPr>
      <w:r>
        <w:rPr>
          <w:rStyle w:val="EndnoteReference"/>
        </w:rPr>
        <w:t>60</w:t>
      </w:r>
      <w:r w:rsidR="004147D2">
        <w:t xml:space="preserve"> Michael C. Gordon, MD. “Chapter 3-Maternal Physiology in Pregnancy”. In: Obstetrics Normal and Problem Pregnancies, 4</w:t>
      </w:r>
      <w:r w:rsidR="004147D2">
        <w:rPr>
          <w:vertAlign w:val="superscript"/>
        </w:rPr>
        <w:t>th</w:t>
      </w:r>
      <w:r w:rsidR="004147D2">
        <w:t xml:space="preserve"> Edition. S.G. </w:t>
      </w:r>
      <w:proofErr w:type="spellStart"/>
      <w:r w:rsidR="004147D2">
        <w:t>Gabbe</w:t>
      </w:r>
      <w:proofErr w:type="spellEnd"/>
      <w:r w:rsidR="004147D2">
        <w:t xml:space="preserve">, J. </w:t>
      </w:r>
      <w:proofErr w:type="spellStart"/>
      <w:r w:rsidR="004147D2">
        <w:t>Niebyl</w:t>
      </w:r>
      <w:proofErr w:type="spellEnd"/>
      <w:r w:rsidR="004147D2">
        <w:t>, J.L. Simpson, Eds. (Churchill Livingstone, New York, 2006) pp 63-88.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</w:pPr>
      <w:r>
        <w:rPr>
          <w:rStyle w:val="EndnoteReference"/>
        </w:rPr>
        <w:t>61</w:t>
      </w:r>
      <w:r w:rsidR="004147D2">
        <w:t xml:space="preserve"> Jacques Wallach, MD. “Chapter 13-Blood”, In: Interpretation of Diagnostic Tests, 4</w:t>
      </w:r>
      <w:r w:rsidR="004147D2">
        <w:rPr>
          <w:vertAlign w:val="superscript"/>
        </w:rPr>
        <w:t>th</w:t>
      </w:r>
      <w:r w:rsidR="004147D2">
        <w:t xml:space="preserve"> Edition, </w:t>
      </w:r>
      <w:proofErr w:type="gramStart"/>
      <w:r w:rsidR="004147D2">
        <w:t>(</w:t>
      </w:r>
      <w:proofErr w:type="gramEnd"/>
      <w:r w:rsidR="004147D2">
        <w:t>Little Brown, Boston, 1986) pp 41-82.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62</w:t>
      </w:r>
      <w:r w:rsidR="004147D2">
        <w:t xml:space="preserve"> </w:t>
      </w:r>
      <w:hyperlink r:id="rId24" w:history="1">
        <w:r w:rsidR="004147D2">
          <w:rPr>
            <w:rStyle w:val="Hyperlink"/>
          </w:rPr>
          <w:t xml:space="preserve"> “Preeclampsia and eclampsia” Merck Manual of Diagnosis and Therapy, www.merck.com/mrkshared/mmanual/home.jsp,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63</w:t>
      </w:r>
      <w:r w:rsidR="004147D2">
        <w:t xml:space="preserve"> </w:t>
      </w:r>
      <w:hyperlink r:id="rId25" w:history="1">
        <w:r w:rsidR="004147D2">
          <w:rPr>
            <w:rStyle w:val="Hyperlink"/>
          </w:rPr>
          <w:t xml:space="preserve"> “Pregnancy complicated by disease: Hypertension” Merck Manual of Diagnosis and Therapy, www.merck.com/mrkshared/mmanual/home.jsp,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64</w:t>
      </w:r>
      <w:r w:rsidR="004147D2">
        <w:t xml:space="preserve"> </w:t>
      </w:r>
      <w:hyperlink r:id="rId26" w:history="1">
        <w:r w:rsidR="004147D2">
          <w:rPr>
            <w:rStyle w:val="Hyperlink"/>
          </w:rPr>
          <w:t xml:space="preserve"> “Hyperemesis gravidarum” Merck Manual of Diagnosis and Therapy, www.merck.com/mrkshared/mmanual/home.jsp,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65</w:t>
      </w:r>
      <w:r w:rsidR="004147D2">
        <w:t xml:space="preserve"> </w:t>
      </w:r>
      <w:hyperlink r:id="rId27" w:history="1">
        <w:r w:rsidR="004147D2">
          <w:rPr>
            <w:rStyle w:val="Hyperlink"/>
          </w:rPr>
          <w:t xml:space="preserve"> “Pregnancy complicated by disease: Hepatic disorders” Merck Manual of Diagnosis and Therapy, www.merck.com/mrkshared/mmanual/home.jsp,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66</w:t>
      </w:r>
      <w:r w:rsidR="004147D2">
        <w:t xml:space="preserve"> </w:t>
      </w:r>
      <w:hyperlink r:id="rId28" w:history="1">
        <w:r w:rsidR="004147D2">
          <w:rPr>
            <w:rStyle w:val="Hyperlink"/>
          </w:rPr>
          <w:t xml:space="preserve"> National Institutes of Health “Medical encyclopedia: peripartum cardiomyopathy” Medline Plus, www.nlm.nih.gov/medlineplus,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67</w:t>
      </w:r>
      <w:r w:rsidR="004147D2">
        <w:t xml:space="preserve"> </w:t>
      </w:r>
      <w:hyperlink r:id="rId29" w:history="1">
        <w:r w:rsidR="004147D2">
          <w:rPr>
            <w:rStyle w:val="Hyperlink"/>
          </w:rPr>
          <w:t xml:space="preserve"> “Pregnancy complicated by disease: Heart disease” Merck Manual of Diagnosis and Therapy, www.merck.com/mrkshared/mmanual/home.jsp,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68</w:t>
      </w:r>
      <w:hyperlink w:history="1">
        <w:r w:rsidR="004147D2">
          <w:rPr>
            <w:rStyle w:val="Hyperlink"/>
          </w:rPr>
          <w:t xml:space="preserve"> “Ectopic pregnancy” Merck Manual of Diagnosis and Therapy, www.merck.com/mrkshared/mmanual/home.jsp,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t>69</w:t>
      </w:r>
      <w:hyperlink w:history="1">
        <w:r w:rsidR="004147D2">
          <w:rPr>
            <w:rStyle w:val="Hyperlink"/>
          </w:rPr>
          <w:t xml:space="preserve"> National Cancer Institute “Gestational trophoblastic tumors (PDQ): Treatment, Health Professional Version” www.cancer.gov,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5923D3" w:rsidP="004147D2">
      <w:pPr>
        <w:pStyle w:val="EndnoteText"/>
        <w:rPr>
          <w:color w:val="0000FF"/>
          <w:u w:val="single"/>
        </w:rPr>
      </w:pPr>
      <w:bookmarkStart w:id="0" w:name="_GoBack"/>
      <w:bookmarkEnd w:id="0"/>
      <w:r>
        <w:rPr>
          <w:rStyle w:val="EndnoteReference"/>
        </w:rPr>
        <w:t>70</w:t>
      </w:r>
      <w:r w:rsidR="004147D2">
        <w:t xml:space="preserve"> </w:t>
      </w:r>
      <w:hyperlink r:id="rId30" w:history="1">
        <w:r w:rsidR="004147D2">
          <w:rPr>
            <w:rStyle w:val="Hyperlink"/>
          </w:rPr>
          <w:t xml:space="preserve"> “Gestational trophoblastic disease” Merck Manual of Diagnosis and Therapy, www.merck.com/mrkshared/mmanual/home.jsp, accessed 2004</w:t>
        </w:r>
      </w:hyperlink>
      <w:r w:rsidR="004147D2"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4147D2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footnoteRef/>
      </w:r>
      <w:r>
        <w:t xml:space="preserve"> </w:t>
      </w:r>
      <w:hyperlink r:id="rId31" w:history="1">
        <w:r>
          <w:rPr>
            <w:rStyle w:val="Hyperlink"/>
          </w:rPr>
          <w:t xml:space="preserve"> “Sexually transmitted diseases” Merck Manual of Diagnosis and Therapy, www.merck.com/mrkshared/mmanual/home.jsp, accessed 2004</w:t>
        </w:r>
      </w:hyperlink>
      <w:r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4147D2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footnoteRef/>
      </w:r>
      <w:r>
        <w:t xml:space="preserve"> </w:t>
      </w:r>
      <w:hyperlink w:history="1">
        <w:r>
          <w:rPr>
            <w:rStyle w:val="Hyperlink"/>
          </w:rPr>
          <w:t xml:space="preserve"> Centers for Disease Control and Prevention “Human papillomavirus infection. Sexually transmitted diseases treatment guidelines 2002” National Guideline Clearinghouse, www.guideline.gov, accessed 2004</w:t>
        </w:r>
      </w:hyperlink>
      <w:r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4147D2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footnoteRef/>
      </w:r>
      <w:r>
        <w:t xml:space="preserve"> </w:t>
      </w:r>
      <w:hyperlink r:id="rId32" w:history="1">
        <w:r>
          <w:rPr>
            <w:rStyle w:val="Hyperlink"/>
          </w:rPr>
          <w:t xml:space="preserve"> “Gonorrhea” Merck Manual of Diagnosis and Therapy, www.merck.com/mrkshared/mmanual/home.jsp, accessed 2004</w:t>
        </w:r>
      </w:hyperlink>
      <w:r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4147D2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footnoteRef/>
      </w:r>
      <w:r>
        <w:t xml:space="preserve"> </w:t>
      </w:r>
      <w:hyperlink w:history="1">
        <w:r>
          <w:rPr>
            <w:rStyle w:val="Hyperlink"/>
          </w:rPr>
          <w:t xml:space="preserve"> “Syphilis” Merck Manual of Diagnosis and Therapy, www.merck.com/mrkshared/mmanual/home.jsp, accessed 2004</w:t>
        </w:r>
      </w:hyperlink>
      <w:r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4147D2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footnoteRef/>
      </w:r>
      <w:r>
        <w:t xml:space="preserve"> </w:t>
      </w:r>
      <w:hyperlink r:id="rId33" w:history="1">
        <w:r>
          <w:rPr>
            <w:rStyle w:val="Hyperlink"/>
          </w:rPr>
          <w:t xml:space="preserve"> “Genital herpes” Merck Manual of Diagnosis and Therapy, www.merck.com/mrkshared/mmanual/home.jsp, accessed 2004</w:t>
        </w:r>
      </w:hyperlink>
      <w:r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4147D2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footnoteRef/>
      </w:r>
      <w:r>
        <w:t xml:space="preserve"> </w:t>
      </w:r>
      <w:hyperlink r:id="rId34" w:history="1">
        <w:r>
          <w:rPr>
            <w:rStyle w:val="Hyperlink"/>
          </w:rPr>
          <w:t xml:space="preserve"> Association for Genitourinary Medicine “2002 national guideline for the management of genital herpes” National Guideline Clearinghouse, www.guideline.gov, accessed 2004</w:t>
        </w:r>
      </w:hyperlink>
      <w:r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4147D2" w:rsidP="004147D2">
      <w:pPr>
        <w:pStyle w:val="EndnoteText"/>
        <w:rPr>
          <w:color w:val="0000FF"/>
          <w:u w:val="single"/>
        </w:rPr>
      </w:pPr>
      <w:r>
        <w:rPr>
          <w:rStyle w:val="EndnoteReference"/>
        </w:rPr>
        <w:footnoteRef/>
      </w:r>
      <w:r>
        <w:t xml:space="preserve"> </w:t>
      </w:r>
      <w:hyperlink w:history="1">
        <w:r>
          <w:rPr>
            <w:rStyle w:val="Hyperlink"/>
          </w:rPr>
          <w:t xml:space="preserve"> Scottish Intercollegiate Guidelines Network “Management of genital Chlamydia trachomatis infection. A national clinical guideline.” National Guideline Clearinghouse, www.guideline.gov, accessed 2004</w:t>
        </w:r>
      </w:hyperlink>
      <w:r>
        <w:rPr>
          <w:color w:val="0000FF"/>
          <w:u w:val="single"/>
        </w:rPr>
        <w:t>.</w:t>
      </w:r>
    </w:p>
    <w:p w:rsidR="004147D2" w:rsidRDefault="004147D2" w:rsidP="004147D2">
      <w:pPr>
        <w:pStyle w:val="EndnoteText"/>
      </w:pPr>
    </w:p>
    <w:p w:rsidR="004147D2" w:rsidRDefault="004147D2" w:rsidP="004147D2">
      <w:pPr>
        <w:pStyle w:val="EndnoteText"/>
        <w:rPr>
          <w:rStyle w:val="Hyperlink"/>
        </w:rPr>
      </w:pPr>
      <w:r>
        <w:rPr>
          <w:rStyle w:val="EndnoteReference"/>
        </w:rPr>
        <w:footnoteRef/>
      </w:r>
      <w:r>
        <w:rPr>
          <w:rStyle w:val="Hyperlink"/>
        </w:rPr>
        <w:t xml:space="preserve"> “</w:t>
      </w:r>
      <w:proofErr w:type="spellStart"/>
      <w:r>
        <w:rPr>
          <w:rStyle w:val="Hyperlink"/>
        </w:rPr>
        <w:t>Chancroid</w:t>
      </w:r>
      <w:proofErr w:type="spellEnd"/>
      <w:r>
        <w:rPr>
          <w:rStyle w:val="Hyperlink"/>
        </w:rPr>
        <w:t xml:space="preserve">” Merck Manual of Diagnosis and Therapy, </w:t>
      </w:r>
      <w:hyperlink r:id="rId35" w:history="1">
        <w:r w:rsidRPr="0050515B">
          <w:rPr>
            <w:rStyle w:val="Hyperlink"/>
          </w:rPr>
          <w:t>www.merck.com/mrkshared/mmanual/home.jsp</w:t>
        </w:r>
      </w:hyperlink>
      <w:r>
        <w:rPr>
          <w:rStyle w:val="Hyperlink"/>
        </w:rPr>
        <w:t>.</w:t>
      </w:r>
    </w:p>
    <w:p w:rsidR="004147D2" w:rsidRDefault="004147D2" w:rsidP="004147D2">
      <w:pPr>
        <w:pStyle w:val="EndnoteText"/>
        <w:rPr>
          <w:rStyle w:val="Hyperlink"/>
        </w:rPr>
      </w:pPr>
    </w:p>
    <w:p w:rsidR="004147D2" w:rsidRDefault="004147D2" w:rsidP="004147D2">
      <w:pPr>
        <w:pStyle w:val="EndnoteText"/>
        <w:rPr>
          <w:rStyle w:val="Hyperlink"/>
        </w:rPr>
      </w:pPr>
    </w:p>
    <w:p w:rsidR="001B5FEB" w:rsidRPr="001B5FEB" w:rsidRDefault="001B5FEB" w:rsidP="001B5FEB">
      <w:pPr>
        <w:rPr>
          <w:b/>
        </w:rPr>
      </w:pPr>
    </w:p>
    <w:sectPr w:rsidR="001B5FEB" w:rsidRPr="001B5FEB" w:rsidSect="00C2505D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C4" w:rsidRDefault="00B15BC4" w:rsidP="007C3ACB">
      <w:pPr>
        <w:spacing w:line="240" w:lineRule="auto"/>
      </w:pPr>
      <w:r>
        <w:separator/>
      </w:r>
    </w:p>
  </w:endnote>
  <w:endnote w:type="continuationSeparator" w:id="0">
    <w:p w:rsidR="00B15BC4" w:rsidRDefault="00B15BC4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C4" w:rsidRDefault="00B15BC4" w:rsidP="007C3ACB">
      <w:pPr>
        <w:spacing w:line="240" w:lineRule="auto"/>
      </w:pPr>
      <w:r>
        <w:separator/>
      </w:r>
    </w:p>
  </w:footnote>
  <w:footnote w:type="continuationSeparator" w:id="0">
    <w:p w:rsidR="00B15BC4" w:rsidRDefault="00B15BC4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EB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B5FEB"/>
    <w:rsid w:val="001C055C"/>
    <w:rsid w:val="001E0272"/>
    <w:rsid w:val="001E31A9"/>
    <w:rsid w:val="001E7497"/>
    <w:rsid w:val="002358AC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80E78"/>
    <w:rsid w:val="003A641D"/>
    <w:rsid w:val="003A7C34"/>
    <w:rsid w:val="003B23FB"/>
    <w:rsid w:val="003C081B"/>
    <w:rsid w:val="003C5AEE"/>
    <w:rsid w:val="003E5E3D"/>
    <w:rsid w:val="004147D2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923D3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11870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409A4"/>
    <w:rsid w:val="00A50412"/>
    <w:rsid w:val="00A86836"/>
    <w:rsid w:val="00A93789"/>
    <w:rsid w:val="00A94D16"/>
    <w:rsid w:val="00A95C79"/>
    <w:rsid w:val="00AE43FC"/>
    <w:rsid w:val="00B1460C"/>
    <w:rsid w:val="00B15BC4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A780D"/>
  <w15:chartTrackingRefBased/>
  <w15:docId w15:val="{4B752B61-0205-4AE0-89D2-D5290A94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  <w:style w:type="paragraph" w:styleId="EndnoteText">
    <w:name w:val="endnote text"/>
    <w:basedOn w:val="Normal"/>
    <w:link w:val="EndnoteTextChar"/>
    <w:uiPriority w:val="99"/>
    <w:semiHidden/>
    <w:rsid w:val="004147D2"/>
    <w:pPr>
      <w:spacing w:line="240" w:lineRule="auto"/>
    </w:pPr>
    <w:rPr>
      <w:rFonts w:ascii="Times New Roman" w:hAnsi="Times New Roman" w:cs="Times New Roman"/>
      <w:sz w:val="20"/>
      <w:szCs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47D2"/>
    <w:rPr>
      <w:rFonts w:ascii="Times New Roman" w:hAnsi="Times New Roman" w:cs="Times New Roman"/>
      <w:sz w:val="20"/>
      <w:szCs w:val="24"/>
      <w:lang w:val="en-US" w:eastAsia="en-US"/>
    </w:rPr>
  </w:style>
  <w:style w:type="character" w:styleId="EndnoteReference">
    <w:name w:val="endnote reference"/>
    <w:uiPriority w:val="99"/>
    <w:semiHidden/>
    <w:rsid w:val="004147D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k.com/mrkshared/mmanual/home.jsp" TargetMode="External"/><Relationship Id="rId13" Type="http://schemas.openxmlformats.org/officeDocument/2006/relationships/hyperlink" Target="http://www.merck.com/mrkshared/CVMHighlight?filed=mrkshared/mmanual/section18/chapter235" TargetMode="External"/><Relationship Id="rId18" Type="http://schemas.openxmlformats.org/officeDocument/2006/relationships/hyperlink" Target="http://www.cancer.gov/" TargetMode="External"/><Relationship Id="rId26" Type="http://schemas.openxmlformats.org/officeDocument/2006/relationships/hyperlink" Target="http://www.merck.com/mrkshared/mmanual/home.jsp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merck.com/mrkshared/mmanual/home.jsp" TargetMode="External"/><Relationship Id="rId34" Type="http://schemas.openxmlformats.org/officeDocument/2006/relationships/hyperlink" Target="http://www.guideline.gov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erck.com/mrkshared/mmanual/home.jsp" TargetMode="External"/><Relationship Id="rId17" Type="http://schemas.openxmlformats.org/officeDocument/2006/relationships/hyperlink" Target="http://www.utdol.com/application/topic/topicText.asp?file=gyne_onc/9015" TargetMode="External"/><Relationship Id="rId25" Type="http://schemas.openxmlformats.org/officeDocument/2006/relationships/hyperlink" Target="http://www.merck.com/mrkshared/mmanual/home.jsp" TargetMode="External"/><Relationship Id="rId33" Type="http://schemas.openxmlformats.org/officeDocument/2006/relationships/hyperlink" Target="http://www.merck.com/mrkshared/mmanual/home.jsp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erck.com/mrkshared/mmanual/home.jsp" TargetMode="External"/><Relationship Id="rId20" Type="http://schemas.openxmlformats.org/officeDocument/2006/relationships/hyperlink" Target="http://www.cancer.gov/" TargetMode="External"/><Relationship Id="rId29" Type="http://schemas.openxmlformats.org/officeDocument/2006/relationships/hyperlink" Target="http://www.merck.com/mrkshared/mmanual/home.jsp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ck.com/mrkshared/mmanual/home.jsp" TargetMode="External"/><Relationship Id="rId24" Type="http://schemas.openxmlformats.org/officeDocument/2006/relationships/hyperlink" Target="http://www.merck.com/mrkshared/mmanual/home.jsp" TargetMode="External"/><Relationship Id="rId32" Type="http://schemas.openxmlformats.org/officeDocument/2006/relationships/hyperlink" Target="http://www.merck.com/mrkshared/mmanual/home.jsp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guideline.gov/" TargetMode="External"/><Relationship Id="rId23" Type="http://schemas.openxmlformats.org/officeDocument/2006/relationships/hyperlink" Target="http://www.merck.com/mrkshared/mmanual/home.jsp" TargetMode="External"/><Relationship Id="rId28" Type="http://schemas.openxmlformats.org/officeDocument/2006/relationships/hyperlink" Target="http://www.nlm.nih.gov/medlineplus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merck.com/mrkshared/mmanual/home.jsp" TargetMode="External"/><Relationship Id="rId19" Type="http://schemas.openxmlformats.org/officeDocument/2006/relationships/hyperlink" Target="http://www.cancer.gov/" TargetMode="External"/><Relationship Id="rId31" Type="http://schemas.openxmlformats.org/officeDocument/2006/relationships/hyperlink" Target="http://www.merck.com/mrkshared/mmanual/home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cer.gov/" TargetMode="External"/><Relationship Id="rId14" Type="http://schemas.openxmlformats.org/officeDocument/2006/relationships/hyperlink" Target="http://www.guideline.gov/" TargetMode="External"/><Relationship Id="rId22" Type="http://schemas.openxmlformats.org/officeDocument/2006/relationships/hyperlink" Target="http://www.merck.com/mrkshared/mmanual/home.jsp" TargetMode="External"/><Relationship Id="rId27" Type="http://schemas.openxmlformats.org/officeDocument/2006/relationships/hyperlink" Target="http://www.merck.com/mrkshared/mmanual/home.jsp" TargetMode="External"/><Relationship Id="rId30" Type="http://schemas.openxmlformats.org/officeDocument/2006/relationships/hyperlink" Target="http://www.merck.com/mrkshared/mmanual/home.jsp" TargetMode="External"/><Relationship Id="rId35" Type="http://schemas.openxmlformats.org/officeDocument/2006/relationships/hyperlink" Target="http://www.merck.com/mrkshared/mmanual/home.jsp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A73C-F201-460E-ABFE-E45FCDE2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2024</Words>
  <Characters>11541</Characters>
  <Application>Microsoft Office Word</Application>
  <DocSecurity>0</DocSecurity>
  <Lines>96</Lines>
  <Paragraphs>27</Paragraphs>
  <ScaleCrop>false</ScaleCrop>
  <Company>Hannover Rück SE</Company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Jodi</dc:creator>
  <cp:keywords/>
  <dc:description/>
  <cp:lastModifiedBy>McDonald Jodi</cp:lastModifiedBy>
  <cp:revision>6</cp:revision>
  <cp:lastPrinted>2012-11-08T13:15:00Z</cp:lastPrinted>
  <dcterms:created xsi:type="dcterms:W3CDTF">2019-02-03T06:50:00Z</dcterms:created>
  <dcterms:modified xsi:type="dcterms:W3CDTF">2019-02-03T07:11:00Z</dcterms:modified>
</cp:coreProperties>
</file>