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1B" w:rsidRDefault="005B281B" w:rsidP="005B281B">
      <w:pPr>
        <w:pStyle w:val="Footer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ALU 202 Chapter 8 References &amp; Endnotes</w:t>
      </w:r>
      <w:bookmarkStart w:id="0" w:name="_GoBack"/>
      <w:bookmarkEnd w:id="0"/>
    </w:p>
    <w:p w:rsidR="005B281B" w:rsidRDefault="005B281B" w:rsidP="005B281B">
      <w:pPr>
        <w:pStyle w:val="Footer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B281B" w:rsidRDefault="005B281B" w:rsidP="005B281B">
      <w:pPr>
        <w:pStyle w:val="Footer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B281B" w:rsidRPr="005B281B" w:rsidRDefault="005B281B" w:rsidP="005B281B">
      <w:pPr>
        <w:pStyle w:val="Footer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28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REFERENCES</w:t>
      </w:r>
    </w:p>
    <w:p w:rsidR="005B281B" w:rsidRPr="00FA63E4" w:rsidRDefault="005B281B" w:rsidP="005B281B">
      <w:pPr>
        <w:pStyle w:val="Footer"/>
        <w:rPr>
          <w:color w:val="FF0000"/>
          <w:sz w:val="22"/>
          <w:u w:val="single"/>
        </w:rPr>
      </w:pP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Table 1 - Source: 1985 DTS Table, Society of Actuaries, CIA 86-92 Table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Table 2 – Source: 1985 DTS Table, Society of Actuaries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Table 3 – Source: 1985 DTS Table, Society of Actuaries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 xml:space="preserve">Table 4 – Health Association of America 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Table 5 – Average earned income limits from selected Disability Insurance carriers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 xml:space="preserve">Table 6 – </w:t>
      </w:r>
      <w:proofErr w:type="spellStart"/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LewinVHI</w:t>
      </w:r>
      <w:proofErr w:type="spellEnd"/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 xml:space="preserve">. Based on the Brookings-ICF Long Term Care Financing Model. Cited by 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 xml:space="preserve">                  </w:t>
      </w:r>
      <w:proofErr w:type="spellStart"/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Alecxih</w:t>
      </w:r>
      <w:proofErr w:type="spellEnd"/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 xml:space="preserve"> (1997a)</w:t>
      </w: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color w:val="FF0000"/>
          <w:sz w:val="24"/>
          <w:u w:val="single"/>
        </w:rPr>
        <w:t>Table 7 – Disability Statistics Abstract 18, June, 1997</w:t>
      </w:r>
    </w:p>
    <w:p w:rsidR="005B281B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</w:p>
    <w:p w:rsidR="005B281B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</w:p>
    <w:p w:rsidR="005B281B" w:rsidRPr="00FA63E4" w:rsidRDefault="005B281B" w:rsidP="005B281B">
      <w:pPr>
        <w:pStyle w:val="Footer"/>
        <w:jc w:val="both"/>
        <w:rPr>
          <w:rStyle w:val="InitialStyle"/>
          <w:rFonts w:ascii="Times New Roman" w:hAnsi="Times New Roman"/>
          <w:color w:val="FF0000"/>
          <w:sz w:val="24"/>
          <w:u w:val="single"/>
        </w:rPr>
      </w:pPr>
    </w:p>
    <w:p w:rsidR="005B281B" w:rsidRPr="00FA63E4" w:rsidRDefault="005B281B" w:rsidP="005B281B">
      <w:pPr>
        <w:pStyle w:val="Footer"/>
        <w:rPr>
          <w:rStyle w:val="InitialStyle"/>
          <w:rFonts w:ascii="Times New Roman" w:hAnsi="Times New Roman"/>
          <w:color w:val="FF0000"/>
          <w:u w:val="single"/>
        </w:rPr>
      </w:pPr>
    </w:p>
    <w:p w:rsidR="005B281B" w:rsidRPr="00FA63E4" w:rsidRDefault="005B281B" w:rsidP="005B281B">
      <w:pPr>
        <w:pStyle w:val="Footer"/>
        <w:jc w:val="center"/>
        <w:rPr>
          <w:rStyle w:val="InitialStyle"/>
          <w:rFonts w:ascii="Times New Roman" w:hAnsi="Times New Roman"/>
          <w:b/>
          <w:color w:val="FF0000"/>
          <w:sz w:val="24"/>
          <w:u w:val="single"/>
        </w:rPr>
      </w:pPr>
      <w:r w:rsidRPr="00FA63E4">
        <w:rPr>
          <w:rStyle w:val="InitialStyle"/>
          <w:rFonts w:ascii="Times New Roman" w:hAnsi="Times New Roman"/>
          <w:b/>
          <w:color w:val="FF0000"/>
          <w:sz w:val="24"/>
          <w:u w:val="single"/>
        </w:rPr>
        <w:t>END</w:t>
      </w:r>
      <w:r>
        <w:rPr>
          <w:rStyle w:val="InitialStyle"/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Pr="00FA63E4">
        <w:rPr>
          <w:rStyle w:val="InitialStyle"/>
          <w:rFonts w:ascii="Times New Roman" w:hAnsi="Times New Roman"/>
          <w:b/>
          <w:color w:val="FF0000"/>
          <w:sz w:val="24"/>
          <w:u w:val="single"/>
        </w:rPr>
        <w:t>NOTES</w:t>
      </w:r>
    </w:p>
    <w:p w:rsidR="005B281B" w:rsidRPr="00FA63E4" w:rsidRDefault="005B281B" w:rsidP="005B281B">
      <w:pPr>
        <w:pStyle w:val="Footer"/>
        <w:rPr>
          <w:rStyle w:val="InitialStyle"/>
          <w:rFonts w:ascii="Times New Roman" w:hAnsi="Times New Roman"/>
          <w:color w:val="FF0000"/>
          <w:u w:val="single"/>
        </w:rPr>
      </w:pPr>
    </w:p>
    <w:p w:rsidR="005B281B" w:rsidRPr="00FA63E4" w:rsidRDefault="005B281B" w:rsidP="005B281B">
      <w:pPr>
        <w:pStyle w:val="FootnoteText"/>
        <w:jc w:val="both"/>
        <w:rPr>
          <w:color w:val="FF0000"/>
          <w:u w:val="single"/>
        </w:rPr>
      </w:pPr>
    </w:p>
    <w:p w:rsidR="005B281B" w:rsidRPr="00FA63E4" w:rsidRDefault="005B281B" w:rsidP="005B281B">
      <w:pPr>
        <w:pStyle w:val="BodyText"/>
        <w:spacing w:before="7"/>
        <w:rPr>
          <w:color w:val="FF0000"/>
          <w:sz w:val="10"/>
          <w:u w:val="single"/>
        </w:rPr>
      </w:pPr>
    </w:p>
    <w:p w:rsidR="005B281B" w:rsidRPr="00FA63E4" w:rsidRDefault="005B281B" w:rsidP="005B281B">
      <w:pPr>
        <w:pStyle w:val="EndnoteText"/>
        <w:rPr>
          <w:color w:val="FF0000"/>
          <w:sz w:val="24"/>
          <w:szCs w:val="24"/>
          <w:u w:val="single"/>
        </w:rPr>
      </w:pPr>
      <w:r w:rsidRPr="00FA63E4">
        <w:rPr>
          <w:rStyle w:val="EndnoteReference"/>
          <w:color w:val="FF0000"/>
          <w:sz w:val="24"/>
          <w:szCs w:val="24"/>
          <w:u w:val="single"/>
        </w:rPr>
        <w:footnoteRef/>
      </w:r>
      <w:r w:rsidRPr="00FA63E4">
        <w:rPr>
          <w:color w:val="FF0000"/>
          <w:sz w:val="24"/>
          <w:szCs w:val="24"/>
          <w:u w:val="single"/>
        </w:rPr>
        <w:t xml:space="preserve">   1998 study conducted by the Federal Housing and Home Finance Agency.  National Safety Council, Injury Facts, 2004 edition</w:t>
      </w:r>
      <w:r>
        <w:rPr>
          <w:color w:val="FF0000"/>
          <w:sz w:val="24"/>
          <w:szCs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sz w:val="24"/>
          <w:szCs w:val="24"/>
          <w:u w:val="single"/>
        </w:rPr>
      </w:pPr>
    </w:p>
    <w:p w:rsidR="005B281B" w:rsidRPr="00FA63E4" w:rsidRDefault="005B281B" w:rsidP="005B281B">
      <w:pPr>
        <w:adjustRightInd w:val="0"/>
        <w:jc w:val="both"/>
        <w:rPr>
          <w:rFonts w:cs="Arial"/>
          <w:color w:val="FF0000"/>
          <w:szCs w:val="20"/>
          <w:u w:val="single"/>
          <w:lang w:val="en-CA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r>
        <w:rPr>
          <w:color w:val="FF0000"/>
          <w:u w:val="single"/>
        </w:rPr>
        <w:t xml:space="preserve"> </w:t>
      </w:r>
      <w:proofErr w:type="spellStart"/>
      <w:proofErr w:type="gramStart"/>
      <w:r w:rsidRPr="00FA63E4">
        <w:rPr>
          <w:rFonts w:cs="Arial"/>
          <w:iCs/>
          <w:color w:val="FF0000"/>
          <w:szCs w:val="20"/>
          <w:u w:val="single"/>
          <w:lang w:val="en-CA"/>
        </w:rPr>
        <w:t>Brisette</w:t>
      </w:r>
      <w:proofErr w:type="spellEnd"/>
      <w:r w:rsidRPr="00FA63E4">
        <w:rPr>
          <w:rFonts w:cs="Arial"/>
          <w:iCs/>
          <w:color w:val="FF0000"/>
          <w:szCs w:val="20"/>
          <w:u w:val="single"/>
          <w:lang w:val="en-CA"/>
        </w:rPr>
        <w:t xml:space="preserve"> </w:t>
      </w:r>
      <w:r w:rsidRPr="00FA63E4">
        <w:rPr>
          <w:rFonts w:cs="Arial"/>
          <w:iCs/>
          <w:color w:val="FF0000"/>
          <w:sz w:val="16"/>
          <w:szCs w:val="20"/>
          <w:u w:val="single"/>
          <w:lang w:val="en-CA"/>
        </w:rPr>
        <w:t xml:space="preserve"> 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>Estate</w:t>
      </w:r>
      <w:proofErr w:type="gramEnd"/>
      <w:r w:rsidRPr="00FA63E4">
        <w:rPr>
          <w:rFonts w:cs="Arial"/>
          <w:color w:val="FF0000"/>
          <w:szCs w:val="20"/>
          <w:u w:val="single"/>
          <w:lang w:val="en-CA"/>
        </w:rPr>
        <w:t xml:space="preserve"> v. 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>Westbury Life Insurance Co.</w:t>
      </w:r>
      <w:r w:rsidRPr="00FA63E4">
        <w:rPr>
          <w:rFonts w:cs="Arial"/>
          <w:color w:val="FF0000"/>
          <w:szCs w:val="20"/>
          <w:u w:val="single"/>
          <w:lang w:val="en-CA"/>
        </w:rPr>
        <w:t xml:space="preserve"> [1992] 3 S.C.R. 87,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 xml:space="preserve"> Reid Crowther &amp; Partners Limited</w:t>
      </w:r>
      <w:r w:rsidRPr="00FA63E4">
        <w:rPr>
          <w:rFonts w:cs="Arial"/>
          <w:color w:val="FF0000"/>
          <w:szCs w:val="20"/>
          <w:u w:val="single"/>
          <w:lang w:val="en-CA"/>
        </w:rPr>
        <w:t xml:space="preserve"> v.   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>Simcoe &amp; Erie Inc. Co</w:t>
      </w:r>
      <w:r w:rsidRPr="00FA63E4">
        <w:rPr>
          <w:rFonts w:cs="Arial"/>
          <w:color w:val="FF0000"/>
          <w:szCs w:val="20"/>
          <w:u w:val="single"/>
          <w:lang w:val="en-CA"/>
        </w:rPr>
        <w:t>. [1993] 1 S.C.R. 252</w:t>
      </w:r>
      <w:r>
        <w:rPr>
          <w:rFonts w:cs="Arial"/>
          <w:color w:val="FF0000"/>
          <w:szCs w:val="20"/>
          <w:u w:val="single"/>
          <w:lang w:val="en-CA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adjustRightInd w:val="0"/>
        <w:jc w:val="both"/>
        <w:rPr>
          <w:rFonts w:cs="Arial"/>
          <w:color w:val="FF0000"/>
          <w:szCs w:val="20"/>
          <w:u w:val="single"/>
          <w:lang w:val="en-CA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 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 xml:space="preserve">National Union Fire Insurance Co. </w:t>
      </w:r>
      <w:r w:rsidRPr="00FA63E4">
        <w:rPr>
          <w:rFonts w:cs="Arial"/>
          <w:color w:val="FF0000"/>
          <w:szCs w:val="20"/>
          <w:u w:val="single"/>
          <w:lang w:val="en-CA"/>
        </w:rPr>
        <w:t xml:space="preserve">v. </w:t>
      </w:r>
      <w:r w:rsidRPr="00FA63E4">
        <w:rPr>
          <w:rFonts w:cs="Arial"/>
          <w:iCs/>
          <w:color w:val="FF0000"/>
          <w:szCs w:val="20"/>
          <w:u w:val="single"/>
          <w:lang w:val="en-CA"/>
        </w:rPr>
        <w:t>Reno's Executive Air, Inc</w:t>
      </w:r>
      <w:r w:rsidRPr="00FA63E4">
        <w:rPr>
          <w:rFonts w:cs="Arial"/>
          <w:color w:val="FF0000"/>
          <w:szCs w:val="20"/>
          <w:u w:val="single"/>
          <w:lang w:val="en-CA"/>
        </w:rPr>
        <w:t>., 682 P.2d 1380 (1984)</w:t>
      </w:r>
      <w:r>
        <w:rPr>
          <w:rFonts w:cs="Arial"/>
          <w:color w:val="FF0000"/>
          <w:szCs w:val="20"/>
          <w:u w:val="single"/>
          <w:lang w:val="en-CA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EndnoteText"/>
        <w:rPr>
          <w:color w:val="FF0000"/>
          <w:sz w:val="24"/>
          <w:szCs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r>
        <w:rPr>
          <w:color w:val="FF0000"/>
          <w:u w:val="single"/>
        </w:rPr>
        <w:t xml:space="preserve"> </w:t>
      </w:r>
      <w:r w:rsidRPr="00FA63E4">
        <w:rPr>
          <w:color w:val="FF0000"/>
          <w:sz w:val="24"/>
          <w:szCs w:val="24"/>
          <w:u w:val="single"/>
        </w:rPr>
        <w:t>U.S. Department of Health and Human Services (National Clearinghouse for LTC Information), 2011</w:t>
      </w:r>
      <w:r>
        <w:rPr>
          <w:color w:val="FF0000"/>
          <w:sz w:val="24"/>
          <w:szCs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EndnoteText"/>
        <w:jc w:val="both"/>
        <w:rPr>
          <w:color w:val="FF0000"/>
          <w:position w:val="6"/>
          <w:sz w:val="16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proofErr w:type="spellStart"/>
      <w:r w:rsidRPr="00FA63E4">
        <w:rPr>
          <w:color w:val="FF0000"/>
          <w:sz w:val="24"/>
          <w:u w:val="single"/>
        </w:rPr>
        <w:t>Shankle</w:t>
      </w:r>
      <w:proofErr w:type="spellEnd"/>
      <w:r w:rsidRPr="00FA63E4">
        <w:rPr>
          <w:color w:val="FF0000"/>
          <w:sz w:val="24"/>
          <w:u w:val="single"/>
        </w:rPr>
        <w:t>, W.R. et al (March 29, 2005) Publication of the National Academy of Science. 102</w:t>
      </w:r>
      <w:proofErr w:type="gramStart"/>
      <w:r w:rsidRPr="00FA63E4">
        <w:rPr>
          <w:color w:val="FF0000"/>
          <w:sz w:val="24"/>
          <w:u w:val="single"/>
        </w:rPr>
        <w:t>;419</w:t>
      </w:r>
      <w:proofErr w:type="gramEnd"/>
      <w:r>
        <w:rPr>
          <w:color w:val="FF0000"/>
          <w:sz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EndnoteText"/>
        <w:rPr>
          <w:color w:val="FF0000"/>
          <w:sz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r w:rsidRPr="00FA63E4">
        <w:rPr>
          <w:color w:val="FF0000"/>
          <w:sz w:val="24"/>
          <w:u w:val="single"/>
        </w:rPr>
        <w:t xml:space="preserve">Arch </w:t>
      </w:r>
      <w:proofErr w:type="spellStart"/>
      <w:r w:rsidRPr="00FA63E4">
        <w:rPr>
          <w:color w:val="FF0000"/>
          <w:sz w:val="24"/>
          <w:u w:val="single"/>
        </w:rPr>
        <w:t>Neurol</w:t>
      </w:r>
      <w:proofErr w:type="spellEnd"/>
      <w:r w:rsidRPr="00FA63E4">
        <w:rPr>
          <w:color w:val="FF0000"/>
          <w:sz w:val="24"/>
          <w:u w:val="single"/>
        </w:rPr>
        <w:t xml:space="preserve"> 1989</w:t>
      </w:r>
      <w:proofErr w:type="gramStart"/>
      <w:r w:rsidRPr="00FA63E4">
        <w:rPr>
          <w:color w:val="FF0000"/>
          <w:sz w:val="24"/>
          <w:u w:val="single"/>
        </w:rPr>
        <w:t>;46:141</w:t>
      </w:r>
      <w:proofErr w:type="gramEnd"/>
      <w:r w:rsidRPr="00FA63E4">
        <w:rPr>
          <w:color w:val="FF0000"/>
          <w:sz w:val="24"/>
          <w:u w:val="single"/>
        </w:rPr>
        <w:t>-145</w:t>
      </w:r>
      <w:r>
        <w:rPr>
          <w:color w:val="FF0000"/>
          <w:sz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EndnoteText"/>
        <w:rPr>
          <w:color w:val="FF0000"/>
          <w:sz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proofErr w:type="spellStart"/>
      <w:r w:rsidRPr="00FA63E4">
        <w:rPr>
          <w:color w:val="FF0000"/>
          <w:sz w:val="24"/>
          <w:u w:val="single"/>
        </w:rPr>
        <w:t>LifePlans</w:t>
      </w:r>
      <w:proofErr w:type="spellEnd"/>
      <w:r w:rsidRPr="00FA63E4">
        <w:rPr>
          <w:color w:val="FF0000"/>
          <w:sz w:val="24"/>
          <w:u w:val="single"/>
        </w:rPr>
        <w:t xml:space="preserve">, Inc.  The Enhanced Mental Skills Test (EMST) Setting a new standard for cognitive </w:t>
      </w:r>
      <w:proofErr w:type="gramStart"/>
      <w:r w:rsidRPr="00FA63E4">
        <w:rPr>
          <w:color w:val="FF0000"/>
          <w:sz w:val="24"/>
          <w:u w:val="single"/>
        </w:rPr>
        <w:t>screening  accuracy</w:t>
      </w:r>
      <w:proofErr w:type="gramEnd"/>
      <w:r w:rsidRPr="00FA63E4">
        <w:rPr>
          <w:color w:val="FF0000"/>
          <w:sz w:val="24"/>
          <w:u w:val="single"/>
        </w:rPr>
        <w:t>. 2005</w:t>
      </w:r>
      <w:r>
        <w:rPr>
          <w:color w:val="FF0000"/>
          <w:sz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EndnoteText"/>
        <w:jc w:val="both"/>
        <w:rPr>
          <w:color w:val="FF0000"/>
          <w:sz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proofErr w:type="spellStart"/>
      <w:r w:rsidRPr="00FA63E4">
        <w:rPr>
          <w:color w:val="FF0000"/>
          <w:sz w:val="24"/>
          <w:u w:val="single"/>
        </w:rPr>
        <w:t>Erkinjuntti</w:t>
      </w:r>
      <w:proofErr w:type="spellEnd"/>
      <w:r w:rsidRPr="00FA63E4">
        <w:rPr>
          <w:color w:val="FF0000"/>
          <w:sz w:val="24"/>
          <w:u w:val="single"/>
        </w:rPr>
        <w:t>, T. et al; Journal of the American Geriatric Society 1987 May; 35(5): 412-416</w:t>
      </w:r>
      <w:r>
        <w:rPr>
          <w:color w:val="FF0000"/>
          <w:sz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FootnoteText"/>
        <w:jc w:val="both"/>
        <w:rPr>
          <w:color w:val="FF0000"/>
          <w:sz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r w:rsidRPr="00FA63E4">
        <w:rPr>
          <w:color w:val="FF0000"/>
          <w:sz w:val="24"/>
          <w:u w:val="single"/>
        </w:rPr>
        <w:t>2000 Heart and Stroke Statistical Update, American Heart Association; 2000 Cancer Facts and Figures</w:t>
      </w:r>
      <w:proofErr w:type="gramStart"/>
      <w:r w:rsidRPr="00FA63E4">
        <w:rPr>
          <w:color w:val="FF0000"/>
          <w:sz w:val="24"/>
          <w:u w:val="single"/>
        </w:rPr>
        <w:t>,  American</w:t>
      </w:r>
      <w:proofErr w:type="gramEnd"/>
      <w:r w:rsidRPr="00FA63E4">
        <w:rPr>
          <w:color w:val="FF0000"/>
          <w:sz w:val="24"/>
          <w:u w:val="single"/>
        </w:rPr>
        <w:t xml:space="preserve"> Cancer Society</w:t>
      </w:r>
      <w:r>
        <w:rPr>
          <w:color w:val="FF0000"/>
          <w:sz w:val="24"/>
          <w:u w:val="single"/>
        </w:rPr>
        <w:t>.</w:t>
      </w:r>
    </w:p>
    <w:p w:rsidR="005B281B" w:rsidRPr="00FA63E4" w:rsidRDefault="005B281B" w:rsidP="005B281B">
      <w:pPr>
        <w:pStyle w:val="EndnoteText"/>
        <w:rPr>
          <w:color w:val="FF0000"/>
          <w:u w:val="single"/>
        </w:rPr>
      </w:pPr>
    </w:p>
    <w:p w:rsidR="005B281B" w:rsidRPr="00FA63E4" w:rsidRDefault="005B281B" w:rsidP="005B281B">
      <w:pPr>
        <w:pStyle w:val="FootnoteText"/>
        <w:jc w:val="both"/>
        <w:rPr>
          <w:color w:val="FF0000"/>
          <w:sz w:val="24"/>
          <w:u w:val="single"/>
        </w:rPr>
      </w:pPr>
      <w:r w:rsidRPr="00FA63E4">
        <w:rPr>
          <w:rStyle w:val="EndnoteReference"/>
          <w:color w:val="FF0000"/>
          <w:u w:val="single"/>
        </w:rPr>
        <w:footnoteRef/>
      </w:r>
      <w:r w:rsidRPr="00FA63E4">
        <w:rPr>
          <w:color w:val="FF0000"/>
          <w:u w:val="single"/>
        </w:rPr>
        <w:t xml:space="preserve">  </w:t>
      </w:r>
      <w:r w:rsidRPr="00FA63E4">
        <w:rPr>
          <w:color w:val="FF0000"/>
          <w:sz w:val="24"/>
          <w:u w:val="single"/>
        </w:rPr>
        <w:t>Munich Re. Critical Illness Manual, 1998</w:t>
      </w:r>
      <w:r>
        <w:rPr>
          <w:color w:val="FF0000"/>
          <w:sz w:val="24"/>
          <w:u w:val="single"/>
        </w:rPr>
        <w:t>.</w:t>
      </w:r>
    </w:p>
    <w:p w:rsidR="005B281B" w:rsidRDefault="005B281B" w:rsidP="005B281B">
      <w:pPr>
        <w:pStyle w:val="BodyText"/>
        <w:spacing w:before="7"/>
        <w:rPr>
          <w:sz w:val="10"/>
        </w:rPr>
      </w:pPr>
    </w:p>
    <w:p w:rsidR="005B281B" w:rsidRDefault="005B281B" w:rsidP="005B281B">
      <w:pPr>
        <w:pStyle w:val="BodyText"/>
        <w:spacing w:before="7"/>
        <w:rPr>
          <w:sz w:val="10"/>
        </w:rPr>
      </w:pPr>
    </w:p>
    <w:p w:rsidR="005B281B" w:rsidRDefault="005B281B" w:rsidP="005B281B">
      <w:pPr>
        <w:pStyle w:val="BodyText"/>
        <w:spacing w:before="7"/>
        <w:rPr>
          <w:sz w:val="10"/>
        </w:rPr>
      </w:pPr>
    </w:p>
    <w:p w:rsidR="00C70C30" w:rsidRPr="00C70C30" w:rsidRDefault="00C70C30" w:rsidP="00C70C30"/>
    <w:sectPr w:rsidR="00C70C30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FD" w:rsidRDefault="000165FD" w:rsidP="007C3ACB">
      <w:r>
        <w:separator/>
      </w:r>
    </w:p>
  </w:endnote>
  <w:endnote w:type="continuationSeparator" w:id="0">
    <w:p w:rsidR="000165FD" w:rsidRDefault="000165FD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FD" w:rsidRDefault="000165FD" w:rsidP="007C3ACB">
      <w:r>
        <w:separator/>
      </w:r>
    </w:p>
  </w:footnote>
  <w:footnote w:type="continuationSeparator" w:id="0">
    <w:p w:rsidR="000165FD" w:rsidRDefault="000165FD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B"/>
    <w:rsid w:val="00001F1C"/>
    <w:rsid w:val="00015CA9"/>
    <w:rsid w:val="000165FD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B281B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285D"/>
  <w15:chartTrackingRefBased/>
  <w15:docId w15:val="{A5D03BD6-3619-4741-B797-51D4338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281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widowControl/>
      <w:numPr>
        <w:numId w:val="41"/>
      </w:numPr>
      <w:tabs>
        <w:tab w:val="left" w:pos="426"/>
        <w:tab w:val="left" w:pos="567"/>
        <w:tab w:val="left" w:pos="709"/>
      </w:tabs>
      <w:autoSpaceDE/>
      <w:autoSpaceDN/>
      <w:spacing w:before="240" w:after="120"/>
      <w:outlineLvl w:val="0"/>
    </w:pPr>
    <w:rPr>
      <w:rFonts w:asciiTheme="majorHAnsi" w:hAnsiTheme="majorHAnsi" w:cstheme="majorHAnsi"/>
      <w:b/>
      <w:sz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widowControl/>
      <w:numPr>
        <w:ilvl w:val="1"/>
        <w:numId w:val="41"/>
      </w:numPr>
      <w:tabs>
        <w:tab w:val="left" w:pos="567"/>
        <w:tab w:val="left" w:pos="709"/>
        <w:tab w:val="left" w:pos="851"/>
      </w:tabs>
      <w:autoSpaceDE/>
      <w:autoSpaceDN/>
      <w:spacing w:before="120" w:after="120" w:line="264" w:lineRule="auto"/>
      <w:outlineLvl w:val="1"/>
    </w:pPr>
    <w:rPr>
      <w:rFonts w:ascii="Arial" w:hAnsi="Arial" w:cs="Arial"/>
      <w:b/>
      <w:sz w:val="20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widowControl/>
      <w:numPr>
        <w:ilvl w:val="2"/>
        <w:numId w:val="41"/>
      </w:numPr>
      <w:tabs>
        <w:tab w:val="left" w:pos="709"/>
        <w:tab w:val="left" w:pos="851"/>
        <w:tab w:val="left" w:pos="993"/>
      </w:tabs>
      <w:autoSpaceDE/>
      <w:autoSpaceDN/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widowControl/>
      <w:numPr>
        <w:ilvl w:val="3"/>
        <w:numId w:val="41"/>
      </w:numPr>
      <w:tabs>
        <w:tab w:val="left" w:pos="851"/>
        <w:tab w:val="left" w:pos="993"/>
        <w:tab w:val="left" w:pos="1134"/>
      </w:tabs>
      <w:autoSpaceDE/>
      <w:autoSpaceDN/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widowControl/>
      <w:numPr>
        <w:ilvl w:val="4"/>
        <w:numId w:val="41"/>
      </w:numPr>
      <w:tabs>
        <w:tab w:val="left" w:pos="993"/>
        <w:tab w:val="left" w:pos="1134"/>
        <w:tab w:val="left" w:pos="1276"/>
      </w:tabs>
      <w:autoSpaceDE/>
      <w:autoSpaceDN/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widowControl/>
      <w:numPr>
        <w:ilvl w:val="5"/>
        <w:numId w:val="41"/>
      </w:numPr>
      <w:tabs>
        <w:tab w:val="left" w:pos="1134"/>
        <w:tab w:val="left" w:pos="1276"/>
        <w:tab w:val="left" w:pos="1418"/>
      </w:tabs>
      <w:autoSpaceDE/>
      <w:autoSpaceDN/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widowControl/>
      <w:numPr>
        <w:ilvl w:val="6"/>
        <w:numId w:val="41"/>
      </w:numPr>
      <w:tabs>
        <w:tab w:val="left" w:pos="1276"/>
        <w:tab w:val="left" w:pos="1418"/>
        <w:tab w:val="left" w:pos="1560"/>
      </w:tabs>
      <w:autoSpaceDE/>
      <w:autoSpaceDN/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widowControl/>
      <w:numPr>
        <w:ilvl w:val="7"/>
        <w:numId w:val="41"/>
      </w:numPr>
      <w:tabs>
        <w:tab w:val="left" w:pos="1498"/>
        <w:tab w:val="left" w:pos="1638"/>
        <w:tab w:val="left" w:pos="1806"/>
      </w:tabs>
      <w:autoSpaceDE/>
      <w:autoSpaceDN/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widowControl/>
      <w:numPr>
        <w:ilvl w:val="8"/>
        <w:numId w:val="41"/>
      </w:numPr>
      <w:tabs>
        <w:tab w:val="left" w:pos="1701"/>
        <w:tab w:val="left" w:pos="1843"/>
        <w:tab w:val="left" w:pos="1985"/>
      </w:tabs>
      <w:autoSpaceDE/>
      <w:autoSpaceDN/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widowControl/>
      <w:autoSpaceDE/>
      <w:autoSpaceDN/>
      <w:spacing w:after="480" w:line="264" w:lineRule="auto"/>
    </w:pPr>
    <w:rPr>
      <w:rFonts w:ascii="Arial" w:hAnsi="Arial" w:cs="Arial"/>
      <w:b/>
      <w:bCs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widowControl/>
      <w:autoSpaceDE/>
      <w:autoSpaceDN/>
      <w:spacing w:line="264" w:lineRule="auto"/>
      <w:ind w:left="284"/>
    </w:pPr>
    <w:rPr>
      <w:rFonts w:ascii="Arial" w:hAnsi="Arial" w:cs="Arial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widowControl/>
      <w:numPr>
        <w:numId w:val="30"/>
      </w:numPr>
      <w:autoSpaceDE/>
      <w:autoSpaceDN/>
      <w:spacing w:line="264" w:lineRule="auto"/>
      <w:contextualSpacing/>
    </w:pPr>
    <w:rPr>
      <w:rFonts w:ascii="Arial" w:hAnsi="Arial" w:cs="Arial"/>
      <w:lang w:val="de-DE" w:eastAsia="zh-CN"/>
    </w:rPr>
  </w:style>
  <w:style w:type="paragraph" w:customStyle="1" w:styleId="Bullet">
    <w:name w:val="Bullet"/>
    <w:basedOn w:val="Normal"/>
    <w:qFormat/>
    <w:rsid w:val="00F57DD2"/>
    <w:pPr>
      <w:widowControl/>
      <w:numPr>
        <w:numId w:val="29"/>
      </w:numPr>
      <w:autoSpaceDE/>
      <w:autoSpaceDN/>
      <w:spacing w:line="264" w:lineRule="auto"/>
      <w:contextualSpacing/>
    </w:pPr>
    <w:rPr>
      <w:rFonts w:ascii="Arial" w:hAnsi="Arial" w:cs="Arial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widowControl/>
      <w:autoSpaceDE/>
      <w:autoSpaceDN/>
      <w:spacing w:line="264" w:lineRule="auto"/>
      <w:jc w:val="right"/>
    </w:pPr>
    <w:rPr>
      <w:rFonts w:ascii="Arial" w:hAnsi="Arial" w:cs="Arial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widowControl/>
      <w:autoSpaceDE/>
      <w:autoSpaceDN/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widowControl/>
      <w:autoSpaceDE/>
      <w:autoSpaceDN/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widowControl/>
      <w:tabs>
        <w:tab w:val="center" w:pos="4819"/>
        <w:tab w:val="right" w:pos="9071"/>
      </w:tabs>
      <w:autoSpaceDE/>
      <w:autoSpaceDN/>
      <w:spacing w:line="264" w:lineRule="auto"/>
    </w:pPr>
    <w:rPr>
      <w:rFonts w:ascii="Arial" w:hAnsi="Arial" w:cs="Arial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widowControl/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autoSpaceDE/>
      <w:autoSpaceDN/>
      <w:spacing w:line="264" w:lineRule="auto"/>
      <w:contextualSpacing/>
    </w:pPr>
    <w:rPr>
      <w:rFonts w:ascii="Arial" w:hAnsi="Arial" w:cs="Arial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widowControl/>
      <w:tabs>
        <w:tab w:val="right" w:leader="underscore" w:pos="9062"/>
      </w:tabs>
      <w:autoSpaceDE/>
      <w:autoSpaceDN/>
      <w:spacing w:before="300" w:after="220" w:line="264" w:lineRule="auto"/>
      <w:ind w:left="851" w:right="567" w:hanging="851"/>
    </w:pPr>
    <w:rPr>
      <w:rFonts w:ascii="Arial" w:hAnsi="Arial" w:cs="Arial"/>
      <w:b/>
      <w:noProof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before="220" w:after="100" w:line="264" w:lineRule="auto"/>
      <w:ind w:left="851" w:right="567" w:hanging="851"/>
    </w:pPr>
    <w:rPr>
      <w:rFonts w:ascii="Arial" w:hAnsi="Arial" w:cs="Arial"/>
      <w:b/>
      <w:noProof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before="100" w:after="100" w:line="264" w:lineRule="auto"/>
      <w:ind w:left="851" w:right="567" w:hanging="851"/>
    </w:pPr>
    <w:rPr>
      <w:rFonts w:ascii="Arial" w:hAnsi="Arial" w:cs="Arial"/>
      <w:noProof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before="100" w:after="100" w:line="264" w:lineRule="auto"/>
      <w:ind w:left="2269" w:right="567" w:hanging="1418"/>
    </w:pPr>
    <w:rPr>
      <w:rFonts w:ascii="Arial" w:hAnsi="Arial" w:cs="Arial"/>
      <w:noProof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before="100" w:after="100" w:line="264" w:lineRule="auto"/>
      <w:ind w:left="2269" w:right="567" w:hanging="1418"/>
    </w:pPr>
    <w:rPr>
      <w:rFonts w:ascii="Arial" w:hAnsi="Arial" w:cs="Arial"/>
      <w:noProof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before="100" w:after="100" w:line="264" w:lineRule="auto"/>
      <w:ind w:left="2269" w:right="567" w:hanging="1418"/>
    </w:pPr>
    <w:rPr>
      <w:rFonts w:ascii="Arial" w:hAnsi="Arial" w:cs="Arial"/>
      <w:noProof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after="100" w:line="264" w:lineRule="auto"/>
      <w:ind w:left="3402" w:right="567" w:hanging="1701"/>
    </w:pPr>
    <w:rPr>
      <w:rFonts w:ascii="Arial" w:hAnsi="Arial" w:cs="Arial"/>
      <w:noProof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widowControl/>
      <w:tabs>
        <w:tab w:val="right" w:pos="9062"/>
      </w:tabs>
      <w:autoSpaceDE/>
      <w:autoSpaceDN/>
      <w:spacing w:after="100" w:line="264" w:lineRule="auto"/>
      <w:ind w:left="3402" w:right="567" w:hanging="1701"/>
    </w:pPr>
    <w:rPr>
      <w:rFonts w:ascii="Arial" w:hAnsi="Arial" w:cs="Arial"/>
      <w:noProof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widowControl/>
      <w:tabs>
        <w:tab w:val="right" w:pos="9062"/>
      </w:tabs>
      <w:autoSpaceDE/>
      <w:autoSpaceDN/>
      <w:spacing w:after="100" w:line="264" w:lineRule="auto"/>
      <w:ind w:left="3402" w:right="567" w:hanging="1701"/>
    </w:pPr>
    <w:rPr>
      <w:rFonts w:ascii="Arial" w:hAnsi="Arial" w:cs="Arial"/>
      <w:noProof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widowControl/>
      <w:autoSpaceDE/>
      <w:autoSpaceDN/>
      <w:spacing w:line="170" w:lineRule="exact"/>
    </w:pPr>
    <w:rPr>
      <w:rFonts w:ascii="Arial" w:hAnsi="Arial" w:cs="Arial"/>
      <w:color w:val="4D4D4D"/>
      <w:sz w:val="13"/>
      <w:lang w:val="en-GB" w:eastAsia="zh-CN"/>
    </w:rPr>
  </w:style>
  <w:style w:type="paragraph" w:styleId="Footer">
    <w:name w:val="footer"/>
    <w:basedOn w:val="Normal"/>
    <w:link w:val="FooterChar"/>
    <w:unhideWhenUsed/>
    <w:qFormat/>
    <w:rsid w:val="00F57DD2"/>
    <w:pPr>
      <w:widowControl/>
      <w:tabs>
        <w:tab w:val="center" w:pos="4536"/>
        <w:tab w:val="right" w:pos="9072"/>
      </w:tabs>
      <w:autoSpaceDE/>
      <w:autoSpaceDN/>
      <w:spacing w:line="200" w:lineRule="exact"/>
    </w:pPr>
    <w:rPr>
      <w:rFonts w:ascii="Arial" w:hAnsi="Arial" w:cs="Arial"/>
      <w:sz w:val="15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widowControl/>
      <w:autoSpaceDE/>
      <w:autoSpaceDN/>
    </w:pPr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widowControl/>
      <w:autoSpaceDE/>
      <w:autoSpaceDN/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widowControl/>
      <w:autoSpaceDE/>
      <w:autoSpaceDN/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widowControl/>
      <w:autoSpaceDE/>
      <w:autoSpaceDN/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widowControl/>
      <w:autoSpaceDE/>
      <w:autoSpaceDN/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BodyText">
    <w:name w:val="Body Text"/>
    <w:basedOn w:val="Normal"/>
    <w:link w:val="BodyTextChar"/>
    <w:uiPriority w:val="1"/>
    <w:qFormat/>
    <w:rsid w:val="005B28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81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nitialStyle">
    <w:name w:val="InitialStyle"/>
    <w:rsid w:val="005B281B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5B281B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281B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5B281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B281B"/>
    <w:pPr>
      <w:widowControl/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281B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9D9D-D13A-46B6-99FB-8B40E36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Hannover Rück SE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2020-03-15T05:22:00Z</dcterms:created>
  <dcterms:modified xsi:type="dcterms:W3CDTF">2020-03-15T05:25:00Z</dcterms:modified>
</cp:coreProperties>
</file>